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FB" w:rsidRDefault="003F1DFB" w:rsidP="00CF548D">
      <w:pPr>
        <w:pageBreakBefore/>
        <w:widowControl w:val="0"/>
        <w:autoSpaceDE w:val="0"/>
        <w:jc w:val="center"/>
        <w:rPr>
          <w:b w:val="0"/>
          <w:bCs w:val="0"/>
          <w:sz w:val="28"/>
          <w:szCs w:val="28"/>
        </w:rPr>
      </w:pPr>
      <w:r>
        <w:rPr>
          <w:b w:val="0"/>
          <w:bCs w:val="0"/>
          <w:sz w:val="28"/>
          <w:szCs w:val="28"/>
        </w:rPr>
        <w:t>ФИНАНСОВОЕ УПРАВЛЕНИЕ</w:t>
      </w:r>
    </w:p>
    <w:p w:rsidR="003F1DFB" w:rsidRDefault="003F1DFB" w:rsidP="00CF548D">
      <w:pPr>
        <w:jc w:val="center"/>
        <w:rPr>
          <w:b w:val="0"/>
          <w:bCs w:val="0"/>
          <w:sz w:val="28"/>
          <w:szCs w:val="28"/>
        </w:rPr>
      </w:pPr>
      <w:r>
        <w:rPr>
          <w:b w:val="0"/>
          <w:bCs w:val="0"/>
          <w:sz w:val="28"/>
          <w:szCs w:val="28"/>
        </w:rPr>
        <w:t>администрации Петровского муниципального округа</w:t>
      </w:r>
    </w:p>
    <w:p w:rsidR="003F1DFB" w:rsidRDefault="003F1DFB" w:rsidP="00CF548D">
      <w:pPr>
        <w:jc w:val="center"/>
        <w:rPr>
          <w:b w:val="0"/>
          <w:bCs w:val="0"/>
          <w:color w:val="000000"/>
          <w:sz w:val="28"/>
          <w:szCs w:val="28"/>
        </w:rPr>
      </w:pPr>
      <w:r>
        <w:rPr>
          <w:b w:val="0"/>
          <w:bCs w:val="0"/>
          <w:sz w:val="28"/>
          <w:szCs w:val="28"/>
        </w:rPr>
        <w:t>Ставропольского края</w:t>
      </w:r>
    </w:p>
    <w:p w:rsidR="003F1DFB" w:rsidRDefault="003F1DFB" w:rsidP="00CF548D">
      <w:pPr>
        <w:jc w:val="center"/>
        <w:rPr>
          <w:b w:val="0"/>
          <w:bCs w:val="0"/>
          <w:color w:val="000000"/>
          <w:sz w:val="28"/>
          <w:szCs w:val="28"/>
        </w:rPr>
      </w:pPr>
    </w:p>
    <w:p w:rsidR="003F1DFB" w:rsidRDefault="003F1DFB" w:rsidP="00CF548D">
      <w:pPr>
        <w:jc w:val="center"/>
        <w:rPr>
          <w:b w:val="0"/>
          <w:bCs w:val="0"/>
          <w:color w:val="000000"/>
          <w:sz w:val="28"/>
          <w:szCs w:val="28"/>
        </w:rPr>
      </w:pPr>
      <w:r>
        <w:rPr>
          <w:b w:val="0"/>
          <w:bCs w:val="0"/>
          <w:color w:val="000000"/>
          <w:sz w:val="28"/>
          <w:szCs w:val="28"/>
        </w:rPr>
        <w:t>П Р И К А З</w:t>
      </w:r>
    </w:p>
    <w:p w:rsidR="003F1DFB" w:rsidRDefault="003F1DFB" w:rsidP="00CF548D">
      <w:pPr>
        <w:spacing w:line="240" w:lineRule="exact"/>
        <w:jc w:val="center"/>
        <w:rPr>
          <w:b w:val="0"/>
          <w:bCs w:val="0"/>
          <w:color w:val="000000"/>
          <w:sz w:val="28"/>
          <w:szCs w:val="28"/>
        </w:rPr>
      </w:pPr>
    </w:p>
    <w:tbl>
      <w:tblPr>
        <w:tblW w:w="0" w:type="auto"/>
        <w:tblInd w:w="-106" w:type="dxa"/>
        <w:tblLayout w:type="fixed"/>
        <w:tblLook w:val="0000"/>
      </w:tblPr>
      <w:tblGrid>
        <w:gridCol w:w="3063"/>
        <w:gridCol w:w="3343"/>
        <w:gridCol w:w="3122"/>
      </w:tblGrid>
      <w:tr w:rsidR="003F1DFB">
        <w:trPr>
          <w:trHeight w:val="280"/>
        </w:trPr>
        <w:tc>
          <w:tcPr>
            <w:tcW w:w="3063" w:type="dxa"/>
            <w:vAlign w:val="center"/>
          </w:tcPr>
          <w:p w:rsidR="003F1DFB" w:rsidRDefault="003F1DFB" w:rsidP="00520CD8">
            <w:pPr>
              <w:spacing w:line="240" w:lineRule="exact"/>
            </w:pPr>
            <w:r>
              <w:rPr>
                <w:b w:val="0"/>
                <w:bCs w:val="0"/>
                <w:sz w:val="28"/>
                <w:szCs w:val="28"/>
              </w:rPr>
              <w:t>13 ноября 2024 г.</w:t>
            </w:r>
          </w:p>
        </w:tc>
        <w:tc>
          <w:tcPr>
            <w:tcW w:w="3343" w:type="dxa"/>
            <w:vAlign w:val="center"/>
          </w:tcPr>
          <w:p w:rsidR="003F1DFB" w:rsidRDefault="003F1DFB" w:rsidP="00520CD8">
            <w:pPr>
              <w:spacing w:line="240" w:lineRule="exact"/>
              <w:ind w:left="177"/>
              <w:jc w:val="center"/>
            </w:pPr>
            <w:r>
              <w:rPr>
                <w:b w:val="0"/>
                <w:bCs w:val="0"/>
                <w:sz w:val="24"/>
                <w:szCs w:val="24"/>
              </w:rPr>
              <w:t>г. Светлоград</w:t>
            </w:r>
          </w:p>
        </w:tc>
        <w:tc>
          <w:tcPr>
            <w:tcW w:w="3122" w:type="dxa"/>
            <w:vAlign w:val="center"/>
          </w:tcPr>
          <w:p w:rsidR="003F1DFB" w:rsidRDefault="003F1DFB" w:rsidP="00520CD8">
            <w:pPr>
              <w:spacing w:line="240" w:lineRule="exact"/>
              <w:jc w:val="right"/>
            </w:pPr>
            <w:r>
              <w:rPr>
                <w:b w:val="0"/>
                <w:bCs w:val="0"/>
                <w:color w:val="000000"/>
                <w:sz w:val="28"/>
                <w:szCs w:val="28"/>
              </w:rPr>
              <w:t>№ 137</w:t>
            </w:r>
          </w:p>
        </w:tc>
      </w:tr>
    </w:tbl>
    <w:p w:rsidR="003F1DFB" w:rsidRDefault="003F1DFB" w:rsidP="00CF548D">
      <w:pPr>
        <w:shd w:val="clear" w:color="auto" w:fill="FFFFFF"/>
        <w:jc w:val="center"/>
        <w:rPr>
          <w:b w:val="0"/>
          <w:bCs w:val="0"/>
          <w:sz w:val="28"/>
          <w:szCs w:val="28"/>
        </w:rPr>
      </w:pPr>
    </w:p>
    <w:p w:rsidR="003F1DFB" w:rsidRDefault="003F1DFB" w:rsidP="00CF548D">
      <w:pPr>
        <w:spacing w:line="240" w:lineRule="exact"/>
        <w:jc w:val="both"/>
        <w:rPr>
          <w:b w:val="0"/>
          <w:bCs w:val="0"/>
          <w:sz w:val="28"/>
          <w:szCs w:val="28"/>
        </w:rPr>
      </w:pPr>
      <w:r>
        <w:rPr>
          <w:b w:val="0"/>
          <w:bCs w:val="0"/>
          <w:sz w:val="28"/>
          <w:szCs w:val="28"/>
        </w:rPr>
        <w:t>Об утверждении Перечня налоговых расходов Петровского муниципального округа Ставропольского края на 2025 год и плановый период 2026 и 2027 годов</w:t>
      </w:r>
    </w:p>
    <w:p w:rsidR="003F1DFB" w:rsidRDefault="003F1DFB" w:rsidP="00CF548D">
      <w:pPr>
        <w:tabs>
          <w:tab w:val="left" w:pos="0"/>
        </w:tabs>
        <w:spacing w:line="240" w:lineRule="exact"/>
        <w:ind w:right="-57"/>
        <w:jc w:val="both"/>
        <w:rPr>
          <w:b w:val="0"/>
          <w:bCs w:val="0"/>
          <w:sz w:val="28"/>
          <w:szCs w:val="28"/>
        </w:rPr>
      </w:pPr>
    </w:p>
    <w:p w:rsidR="003F1DFB" w:rsidRDefault="003F1DFB" w:rsidP="00CF548D">
      <w:pPr>
        <w:tabs>
          <w:tab w:val="left" w:pos="0"/>
        </w:tabs>
        <w:spacing w:line="240" w:lineRule="exact"/>
        <w:ind w:right="-57"/>
        <w:jc w:val="both"/>
        <w:rPr>
          <w:b w:val="0"/>
          <w:bCs w:val="0"/>
          <w:sz w:val="28"/>
          <w:szCs w:val="28"/>
        </w:rPr>
      </w:pPr>
    </w:p>
    <w:p w:rsidR="003F1DFB" w:rsidRDefault="003F1DFB" w:rsidP="00CF548D">
      <w:pPr>
        <w:ind w:firstLine="540"/>
        <w:jc w:val="both"/>
        <w:rPr>
          <w:b w:val="0"/>
          <w:bCs w:val="0"/>
          <w:sz w:val="28"/>
          <w:szCs w:val="28"/>
        </w:rPr>
      </w:pPr>
      <w:r>
        <w:rPr>
          <w:b w:val="0"/>
          <w:bCs w:val="0"/>
          <w:sz w:val="28"/>
          <w:szCs w:val="28"/>
        </w:rPr>
        <w:t>В соответствии со статьей 174.3 Бюджетного кодекса Российской Федерации,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(с изменениями), постановлением администрации Петровского городского округа Ставропольского края от 17 декабря 2019 года № 2557 «Об утверждении Порядка формирования перечня налоговых расходов Петровского городского округа Ставропольского края»</w:t>
      </w:r>
    </w:p>
    <w:p w:rsidR="003F1DFB" w:rsidRDefault="003F1DFB" w:rsidP="00CF548D">
      <w:pPr>
        <w:ind w:firstLine="540"/>
        <w:jc w:val="both"/>
        <w:rPr>
          <w:b w:val="0"/>
          <w:bCs w:val="0"/>
          <w:sz w:val="28"/>
          <w:szCs w:val="28"/>
        </w:rPr>
      </w:pPr>
    </w:p>
    <w:p w:rsidR="003F1DFB" w:rsidRDefault="003F1DFB" w:rsidP="00CF548D">
      <w:pPr>
        <w:rPr>
          <w:b w:val="0"/>
          <w:bCs w:val="0"/>
          <w:sz w:val="28"/>
          <w:szCs w:val="28"/>
        </w:rPr>
      </w:pPr>
      <w:r>
        <w:rPr>
          <w:b w:val="0"/>
          <w:bCs w:val="0"/>
          <w:sz w:val="28"/>
          <w:szCs w:val="28"/>
        </w:rPr>
        <w:t xml:space="preserve">ПРИКАЗЫВАЮ: </w:t>
      </w:r>
    </w:p>
    <w:p w:rsidR="003F1DFB" w:rsidRDefault="003F1DFB" w:rsidP="00CF548D">
      <w:pPr>
        <w:rPr>
          <w:b w:val="0"/>
          <w:bCs w:val="0"/>
          <w:sz w:val="28"/>
          <w:szCs w:val="28"/>
        </w:rPr>
      </w:pPr>
    </w:p>
    <w:p w:rsidR="003F1DFB" w:rsidRDefault="003F1DFB" w:rsidP="00CF548D">
      <w:pPr>
        <w:ind w:firstLine="539"/>
        <w:jc w:val="both"/>
        <w:rPr>
          <w:b w:val="0"/>
          <w:bCs w:val="0"/>
          <w:sz w:val="28"/>
          <w:szCs w:val="28"/>
        </w:rPr>
      </w:pPr>
      <w:r>
        <w:rPr>
          <w:b w:val="0"/>
          <w:bCs w:val="0"/>
          <w:sz w:val="28"/>
          <w:szCs w:val="28"/>
        </w:rPr>
        <w:t>1. Утвердить Перечень налоговых расходов Петровского муниципального округа Ставропольского края на 2025 год и плановый период 2026 и 2027 годов.</w:t>
      </w:r>
    </w:p>
    <w:p w:rsidR="003F1DFB" w:rsidRDefault="003F1DFB" w:rsidP="00CF548D">
      <w:pPr>
        <w:tabs>
          <w:tab w:val="left" w:pos="7020"/>
        </w:tabs>
        <w:ind w:firstLine="539"/>
        <w:jc w:val="both"/>
        <w:rPr>
          <w:b w:val="0"/>
          <w:bCs w:val="0"/>
          <w:sz w:val="28"/>
          <w:szCs w:val="28"/>
        </w:rPr>
      </w:pPr>
      <w:r>
        <w:rPr>
          <w:b w:val="0"/>
          <w:bCs w:val="0"/>
          <w:sz w:val="28"/>
          <w:szCs w:val="28"/>
        </w:rPr>
        <w:t>2. Отделу планирования и анализа доходов и налогового потенциала бюджета финансового управления обеспечить размещение настоящего  приказа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3F1DFB" w:rsidRDefault="003F1DFB" w:rsidP="00CF548D">
      <w:pPr>
        <w:ind w:firstLine="539"/>
        <w:jc w:val="both"/>
        <w:rPr>
          <w:b w:val="0"/>
          <w:bCs w:val="0"/>
          <w:sz w:val="28"/>
          <w:szCs w:val="28"/>
        </w:rPr>
      </w:pPr>
      <w:r>
        <w:rPr>
          <w:b w:val="0"/>
          <w:bCs w:val="0"/>
          <w:sz w:val="28"/>
          <w:szCs w:val="28"/>
        </w:rPr>
        <w:t>3. Контроль за исполнением настоящего приказа возложить на заместителя начальника финансового управления администрации Петровского муниципального округа Ставропольского края Морокко Г.И.</w:t>
      </w:r>
    </w:p>
    <w:p w:rsidR="003F1DFB" w:rsidRDefault="003F1DFB" w:rsidP="00CF548D">
      <w:pPr>
        <w:tabs>
          <w:tab w:val="left" w:pos="0"/>
          <w:tab w:val="left" w:pos="1080"/>
        </w:tabs>
        <w:ind w:firstLine="539"/>
        <w:jc w:val="both"/>
        <w:rPr>
          <w:b w:val="0"/>
          <w:bCs w:val="0"/>
          <w:sz w:val="28"/>
          <w:szCs w:val="28"/>
        </w:rPr>
      </w:pPr>
      <w:r>
        <w:rPr>
          <w:b w:val="0"/>
          <w:bCs w:val="0"/>
          <w:sz w:val="28"/>
          <w:szCs w:val="28"/>
        </w:rPr>
        <w:t>4. Настоящий приказ вступает в силу со дня его подписания.</w:t>
      </w:r>
    </w:p>
    <w:p w:rsidR="003F1DFB" w:rsidRDefault="003F1DFB" w:rsidP="00CF548D">
      <w:pPr>
        <w:rPr>
          <w:b w:val="0"/>
          <w:bCs w:val="0"/>
          <w:sz w:val="28"/>
          <w:szCs w:val="28"/>
        </w:rPr>
      </w:pPr>
    </w:p>
    <w:p w:rsidR="003F1DFB" w:rsidRDefault="003F1DFB" w:rsidP="00CF548D">
      <w:pPr>
        <w:jc w:val="both"/>
        <w:rPr>
          <w:b w:val="0"/>
          <w:bCs w:val="0"/>
          <w:color w:val="000000"/>
          <w:sz w:val="28"/>
          <w:szCs w:val="28"/>
        </w:rPr>
      </w:pPr>
    </w:p>
    <w:p w:rsidR="003F1DFB" w:rsidRDefault="003F1DFB" w:rsidP="00CF548D">
      <w:pPr>
        <w:jc w:val="both"/>
        <w:rPr>
          <w:b w:val="0"/>
          <w:bCs w:val="0"/>
          <w:color w:val="000000"/>
          <w:sz w:val="28"/>
          <w:szCs w:val="28"/>
        </w:rPr>
      </w:pPr>
    </w:p>
    <w:p w:rsidR="003F1DFB" w:rsidRDefault="003F1DFB" w:rsidP="00CF548D">
      <w:pPr>
        <w:spacing w:line="240" w:lineRule="exact"/>
        <w:ind w:right="85"/>
        <w:jc w:val="both"/>
        <w:rPr>
          <w:b w:val="0"/>
          <w:bCs w:val="0"/>
          <w:sz w:val="28"/>
          <w:szCs w:val="28"/>
        </w:rPr>
      </w:pPr>
      <w:r>
        <w:rPr>
          <w:b w:val="0"/>
          <w:bCs w:val="0"/>
          <w:sz w:val="28"/>
          <w:szCs w:val="28"/>
        </w:rPr>
        <w:t xml:space="preserve">Начальник финансового </w:t>
      </w:r>
    </w:p>
    <w:p w:rsidR="003F1DFB" w:rsidRDefault="003F1DFB" w:rsidP="00CF548D">
      <w:pPr>
        <w:spacing w:line="240" w:lineRule="exact"/>
        <w:ind w:right="85"/>
        <w:jc w:val="both"/>
        <w:rPr>
          <w:b w:val="0"/>
          <w:bCs w:val="0"/>
          <w:sz w:val="28"/>
          <w:szCs w:val="28"/>
        </w:rPr>
      </w:pPr>
      <w:r>
        <w:rPr>
          <w:b w:val="0"/>
          <w:bCs w:val="0"/>
          <w:sz w:val="28"/>
          <w:szCs w:val="28"/>
        </w:rPr>
        <w:t xml:space="preserve">управления администрации </w:t>
      </w:r>
    </w:p>
    <w:p w:rsidR="003F1DFB" w:rsidRDefault="003F1DFB" w:rsidP="00CF548D">
      <w:pPr>
        <w:spacing w:line="240" w:lineRule="exact"/>
        <w:ind w:right="85"/>
        <w:jc w:val="both"/>
        <w:rPr>
          <w:b w:val="0"/>
          <w:bCs w:val="0"/>
          <w:sz w:val="28"/>
          <w:szCs w:val="28"/>
        </w:rPr>
      </w:pPr>
      <w:r>
        <w:rPr>
          <w:b w:val="0"/>
          <w:bCs w:val="0"/>
          <w:sz w:val="28"/>
          <w:szCs w:val="28"/>
        </w:rPr>
        <w:t xml:space="preserve">Петровского муниципального </w:t>
      </w:r>
    </w:p>
    <w:p w:rsidR="003F1DFB" w:rsidRDefault="003F1DFB" w:rsidP="00CF548D">
      <w:pPr>
        <w:spacing w:line="240" w:lineRule="exact"/>
        <w:ind w:right="85"/>
        <w:jc w:val="both"/>
        <w:rPr>
          <w:b w:val="0"/>
          <w:bCs w:val="0"/>
          <w:sz w:val="28"/>
          <w:szCs w:val="28"/>
        </w:rPr>
      </w:pPr>
      <w:r>
        <w:rPr>
          <w:b w:val="0"/>
          <w:bCs w:val="0"/>
          <w:sz w:val="28"/>
          <w:szCs w:val="28"/>
        </w:rPr>
        <w:t>округа Ставропольского края                                                 Е.С. Меркулова</w:t>
      </w: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rsidP="00CF548D">
      <w:pPr>
        <w:pageBreakBefore/>
        <w:widowControl w:val="0"/>
        <w:autoSpaceDE w:val="0"/>
        <w:rPr>
          <w:b w:val="0"/>
          <w:bCs w:val="0"/>
          <w:sz w:val="28"/>
          <w:szCs w:val="28"/>
        </w:rPr>
      </w:pPr>
      <w:r>
        <w:rPr>
          <w:b w:val="0"/>
          <w:bCs w:val="0"/>
          <w:sz w:val="28"/>
          <w:szCs w:val="28"/>
        </w:rPr>
        <w:t xml:space="preserve">Проект приказа подготовлен и внесен: </w:t>
      </w:r>
    </w:p>
    <w:p w:rsidR="003F1DFB" w:rsidRDefault="003F1DFB" w:rsidP="00CF548D">
      <w:pPr>
        <w:tabs>
          <w:tab w:val="left" w:pos="7020"/>
        </w:tabs>
        <w:spacing w:line="240" w:lineRule="exact"/>
        <w:rPr>
          <w:b w:val="0"/>
          <w:bCs w:val="0"/>
          <w:sz w:val="28"/>
          <w:szCs w:val="28"/>
        </w:rPr>
      </w:pPr>
    </w:p>
    <w:p w:rsidR="003F1DFB" w:rsidRDefault="003F1DFB" w:rsidP="00CF548D">
      <w:pPr>
        <w:tabs>
          <w:tab w:val="left" w:pos="7020"/>
        </w:tabs>
        <w:spacing w:line="240" w:lineRule="exact"/>
        <w:ind w:left="-284" w:firstLine="284"/>
        <w:jc w:val="both"/>
        <w:rPr>
          <w:b w:val="0"/>
          <w:bCs w:val="0"/>
          <w:sz w:val="28"/>
          <w:szCs w:val="28"/>
        </w:rPr>
      </w:pPr>
      <w:r>
        <w:rPr>
          <w:b w:val="0"/>
          <w:bCs w:val="0"/>
          <w:sz w:val="28"/>
          <w:szCs w:val="28"/>
        </w:rPr>
        <w:t xml:space="preserve">Начальник отдела </w:t>
      </w:r>
    </w:p>
    <w:p w:rsidR="003F1DFB" w:rsidRDefault="003F1DFB" w:rsidP="00CF548D">
      <w:pPr>
        <w:spacing w:line="240" w:lineRule="exact"/>
        <w:ind w:left="-284" w:firstLine="284"/>
        <w:jc w:val="both"/>
        <w:rPr>
          <w:b w:val="0"/>
          <w:bCs w:val="0"/>
          <w:sz w:val="28"/>
          <w:szCs w:val="28"/>
        </w:rPr>
      </w:pPr>
      <w:r>
        <w:rPr>
          <w:b w:val="0"/>
          <w:bCs w:val="0"/>
          <w:sz w:val="28"/>
          <w:szCs w:val="28"/>
        </w:rPr>
        <w:t xml:space="preserve">планирования и анализа </w:t>
      </w:r>
    </w:p>
    <w:p w:rsidR="003F1DFB" w:rsidRDefault="003F1DFB" w:rsidP="00CF548D">
      <w:pPr>
        <w:tabs>
          <w:tab w:val="left" w:pos="7020"/>
          <w:tab w:val="left" w:pos="7200"/>
        </w:tabs>
        <w:spacing w:line="240" w:lineRule="exact"/>
        <w:ind w:left="-284" w:firstLine="284"/>
        <w:jc w:val="both"/>
        <w:rPr>
          <w:b w:val="0"/>
          <w:bCs w:val="0"/>
          <w:sz w:val="28"/>
          <w:szCs w:val="28"/>
        </w:rPr>
      </w:pPr>
      <w:r>
        <w:rPr>
          <w:b w:val="0"/>
          <w:bCs w:val="0"/>
          <w:sz w:val="28"/>
          <w:szCs w:val="28"/>
        </w:rPr>
        <w:t xml:space="preserve">доходов и налогового   </w:t>
      </w:r>
    </w:p>
    <w:p w:rsidR="003F1DFB" w:rsidRDefault="003F1DFB" w:rsidP="00CF548D">
      <w:pPr>
        <w:tabs>
          <w:tab w:val="left" w:pos="7020"/>
          <w:tab w:val="left" w:pos="7200"/>
        </w:tabs>
        <w:spacing w:line="240" w:lineRule="exact"/>
        <w:ind w:left="-284" w:firstLine="284"/>
        <w:jc w:val="both"/>
        <w:rPr>
          <w:b w:val="0"/>
          <w:bCs w:val="0"/>
          <w:sz w:val="28"/>
          <w:szCs w:val="28"/>
        </w:rPr>
      </w:pPr>
      <w:r>
        <w:rPr>
          <w:b w:val="0"/>
          <w:bCs w:val="0"/>
          <w:sz w:val="28"/>
          <w:szCs w:val="28"/>
        </w:rPr>
        <w:t>потенциала бюджета                                                                              А.В.Белый</w:t>
      </w:r>
    </w:p>
    <w:p w:rsidR="003F1DFB" w:rsidRDefault="003F1DFB" w:rsidP="00CF548D">
      <w:pPr>
        <w:spacing w:line="240" w:lineRule="exact"/>
        <w:rPr>
          <w:b w:val="0"/>
          <w:bCs w:val="0"/>
          <w:sz w:val="28"/>
          <w:szCs w:val="28"/>
        </w:rPr>
      </w:pPr>
    </w:p>
    <w:p w:rsidR="003F1DFB" w:rsidRDefault="003F1DFB" w:rsidP="00CF548D">
      <w:pPr>
        <w:spacing w:line="240" w:lineRule="exact"/>
        <w:jc w:val="both"/>
        <w:rPr>
          <w:sz w:val="28"/>
          <w:szCs w:val="28"/>
        </w:rPr>
      </w:pPr>
      <w:r>
        <w:rPr>
          <w:b w:val="0"/>
          <w:bCs w:val="0"/>
          <w:sz w:val="28"/>
          <w:szCs w:val="28"/>
        </w:rPr>
        <w:t xml:space="preserve">Согласовано: </w:t>
      </w:r>
    </w:p>
    <w:p w:rsidR="003F1DFB" w:rsidRDefault="003F1DFB" w:rsidP="00CF548D">
      <w:pPr>
        <w:pStyle w:val="a2"/>
        <w:spacing w:line="240" w:lineRule="exact"/>
        <w:rPr>
          <w:rFonts w:ascii="Times New Roman" w:hAnsi="Times New Roman" w:cs="Times New Roman"/>
          <w:b/>
          <w:bCs/>
          <w:sz w:val="28"/>
          <w:szCs w:val="28"/>
        </w:rPr>
      </w:pPr>
    </w:p>
    <w:p w:rsidR="003F1DFB" w:rsidRDefault="003F1DFB" w:rsidP="00CF548D">
      <w:pPr>
        <w:spacing w:line="240" w:lineRule="exact"/>
        <w:ind w:right="85"/>
        <w:jc w:val="both"/>
        <w:rPr>
          <w:b w:val="0"/>
          <w:bCs w:val="0"/>
          <w:sz w:val="28"/>
          <w:szCs w:val="28"/>
        </w:rPr>
      </w:pPr>
      <w:r>
        <w:rPr>
          <w:b w:val="0"/>
          <w:bCs w:val="0"/>
          <w:sz w:val="28"/>
          <w:szCs w:val="28"/>
        </w:rPr>
        <w:t xml:space="preserve">Заместитель начальника </w:t>
      </w:r>
    </w:p>
    <w:p w:rsidR="003F1DFB" w:rsidRDefault="003F1DFB" w:rsidP="00CF548D">
      <w:pPr>
        <w:spacing w:line="240" w:lineRule="exact"/>
        <w:jc w:val="both"/>
        <w:rPr>
          <w:b w:val="0"/>
          <w:bCs w:val="0"/>
          <w:sz w:val="28"/>
          <w:szCs w:val="28"/>
        </w:rPr>
      </w:pPr>
      <w:r>
        <w:rPr>
          <w:b w:val="0"/>
          <w:bCs w:val="0"/>
          <w:sz w:val="28"/>
          <w:szCs w:val="28"/>
        </w:rPr>
        <w:t>финансового управления                                                                  Г.И. Морокко</w:t>
      </w: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sz w:val="28"/>
          <w:szCs w:val="28"/>
        </w:rPr>
      </w:pPr>
    </w:p>
    <w:p w:rsidR="003F1DFB" w:rsidRDefault="003F1DFB">
      <w:pPr>
        <w:tabs>
          <w:tab w:val="left" w:pos="3840"/>
        </w:tabs>
        <w:rPr>
          <w:b w:val="0"/>
          <w:bCs w:val="0"/>
          <w:color w:val="FF0000"/>
          <w:sz w:val="28"/>
          <w:szCs w:val="28"/>
        </w:rPr>
      </w:pPr>
    </w:p>
    <w:p w:rsidR="003F1DFB" w:rsidRDefault="003F1DFB">
      <w:pPr>
        <w:spacing w:line="240" w:lineRule="exact"/>
        <w:jc w:val="both"/>
        <w:rPr>
          <w:b w:val="0"/>
          <w:bCs w:val="0"/>
          <w:sz w:val="28"/>
          <w:szCs w:val="28"/>
        </w:rPr>
      </w:pPr>
    </w:p>
    <w:p w:rsidR="003F1DFB" w:rsidRDefault="003F1DFB">
      <w:pPr>
        <w:rPr>
          <w:b w:val="0"/>
          <w:bCs w:val="0"/>
          <w:sz w:val="16"/>
          <w:szCs w:val="16"/>
        </w:rPr>
      </w:pPr>
    </w:p>
    <w:p w:rsidR="003F1DFB" w:rsidRDefault="003F1DFB">
      <w:pPr>
        <w:jc w:val="both"/>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pPr>
    </w:p>
    <w:p w:rsidR="003F1DFB" w:rsidRDefault="003F1DFB">
      <w:pPr>
        <w:shd w:val="clear" w:color="auto" w:fill="FFFFFF"/>
        <w:jc w:val="center"/>
        <w:rPr>
          <w:b w:val="0"/>
          <w:bCs w:val="0"/>
          <w:sz w:val="28"/>
          <w:szCs w:val="28"/>
        </w:rPr>
        <w:sectPr w:rsidR="003F1DFB">
          <w:pgSz w:w="11906" w:h="16838"/>
          <w:pgMar w:top="1134" w:right="567" w:bottom="1134" w:left="1985" w:header="0" w:footer="0" w:gutter="0"/>
          <w:cols w:space="720"/>
          <w:formProt w:val="0"/>
          <w:docGrid w:linePitch="360"/>
        </w:sectPr>
      </w:pPr>
    </w:p>
    <w:tbl>
      <w:tblPr>
        <w:tblW w:w="14781" w:type="dxa"/>
        <w:tblInd w:w="-106" w:type="dxa"/>
        <w:tblLayout w:type="fixed"/>
        <w:tblLook w:val="00A0"/>
      </w:tblPr>
      <w:tblGrid>
        <w:gridCol w:w="9702"/>
        <w:gridCol w:w="5079"/>
      </w:tblGrid>
      <w:tr w:rsidR="003F1DFB" w:rsidRPr="00BB6AE7">
        <w:trPr>
          <w:trHeight w:val="20"/>
        </w:trPr>
        <w:tc>
          <w:tcPr>
            <w:tcW w:w="9702" w:type="dxa"/>
          </w:tcPr>
          <w:p w:rsidR="003F1DFB" w:rsidRPr="00BB6AE7" w:rsidRDefault="003F1DFB">
            <w:pPr>
              <w:shd w:val="clear" w:color="auto" w:fill="FFFFFF"/>
              <w:jc w:val="center"/>
            </w:pPr>
          </w:p>
        </w:tc>
        <w:tc>
          <w:tcPr>
            <w:tcW w:w="5079" w:type="dxa"/>
          </w:tcPr>
          <w:p w:rsidR="003F1DFB" w:rsidRDefault="003F1DFB" w:rsidP="00CF548D">
            <w:pPr>
              <w:shd w:val="clear" w:color="auto" w:fill="FFFFFF"/>
              <w:spacing w:line="240" w:lineRule="exact"/>
              <w:jc w:val="center"/>
              <w:rPr>
                <w:b w:val="0"/>
                <w:bCs w:val="0"/>
                <w:sz w:val="28"/>
                <w:szCs w:val="28"/>
              </w:rPr>
            </w:pPr>
            <w:r w:rsidRPr="00CE7C5D">
              <w:rPr>
                <w:b w:val="0"/>
                <w:bCs w:val="0"/>
                <w:sz w:val="28"/>
                <w:szCs w:val="28"/>
              </w:rPr>
              <w:t>Утвержден</w:t>
            </w:r>
          </w:p>
          <w:p w:rsidR="003F1DFB" w:rsidRPr="00BB6AE7" w:rsidRDefault="003F1DFB" w:rsidP="00CF548D">
            <w:pPr>
              <w:shd w:val="clear" w:color="auto" w:fill="FFFFFF"/>
              <w:spacing w:line="240" w:lineRule="exact"/>
              <w:jc w:val="center"/>
            </w:pPr>
            <w:r w:rsidRPr="00CE7C5D">
              <w:rPr>
                <w:b w:val="0"/>
                <w:bCs w:val="0"/>
                <w:sz w:val="28"/>
                <w:szCs w:val="28"/>
              </w:rPr>
              <w:t xml:space="preserve">приказом финансового управления Петровского </w:t>
            </w:r>
            <w:r>
              <w:rPr>
                <w:b w:val="0"/>
                <w:bCs w:val="0"/>
                <w:sz w:val="28"/>
                <w:szCs w:val="28"/>
              </w:rPr>
              <w:t xml:space="preserve">муниципального </w:t>
            </w:r>
            <w:r w:rsidRPr="00CE7C5D">
              <w:rPr>
                <w:b w:val="0"/>
                <w:bCs w:val="0"/>
                <w:sz w:val="28"/>
                <w:szCs w:val="28"/>
              </w:rPr>
              <w:t>округа</w:t>
            </w:r>
            <w:r>
              <w:rPr>
                <w:b w:val="0"/>
                <w:bCs w:val="0"/>
                <w:sz w:val="28"/>
                <w:szCs w:val="28"/>
              </w:rPr>
              <w:t xml:space="preserve"> </w:t>
            </w:r>
            <w:r w:rsidRPr="00CE7C5D">
              <w:rPr>
                <w:b w:val="0"/>
                <w:bCs w:val="0"/>
                <w:sz w:val="28"/>
                <w:szCs w:val="28"/>
              </w:rPr>
              <w:t>Ставропольского края</w:t>
            </w:r>
            <w:r w:rsidRPr="00CE7C5D">
              <w:rPr>
                <w:b w:val="0"/>
                <w:bCs w:val="0"/>
                <w:sz w:val="28"/>
                <w:szCs w:val="28"/>
              </w:rPr>
              <w:br/>
              <w:t>от 1</w:t>
            </w:r>
            <w:r>
              <w:rPr>
                <w:b w:val="0"/>
                <w:bCs w:val="0"/>
                <w:sz w:val="28"/>
                <w:szCs w:val="28"/>
              </w:rPr>
              <w:t>3</w:t>
            </w:r>
            <w:r w:rsidRPr="00CE7C5D">
              <w:rPr>
                <w:b w:val="0"/>
                <w:bCs w:val="0"/>
                <w:sz w:val="28"/>
                <w:szCs w:val="28"/>
              </w:rPr>
              <w:t xml:space="preserve"> ноября 202</w:t>
            </w:r>
            <w:r>
              <w:rPr>
                <w:b w:val="0"/>
                <w:bCs w:val="0"/>
                <w:sz w:val="28"/>
                <w:szCs w:val="28"/>
              </w:rPr>
              <w:t>4</w:t>
            </w:r>
            <w:r w:rsidRPr="00CE7C5D">
              <w:rPr>
                <w:b w:val="0"/>
                <w:bCs w:val="0"/>
                <w:sz w:val="28"/>
                <w:szCs w:val="28"/>
              </w:rPr>
              <w:t xml:space="preserve"> г</w:t>
            </w:r>
            <w:r>
              <w:rPr>
                <w:b w:val="0"/>
                <w:bCs w:val="0"/>
                <w:sz w:val="28"/>
                <w:szCs w:val="28"/>
              </w:rPr>
              <w:t>ода</w:t>
            </w:r>
            <w:r w:rsidRPr="00CE7C5D">
              <w:rPr>
                <w:b w:val="0"/>
                <w:bCs w:val="0"/>
                <w:sz w:val="28"/>
                <w:szCs w:val="28"/>
              </w:rPr>
              <w:t xml:space="preserve"> № 1</w:t>
            </w:r>
            <w:r>
              <w:rPr>
                <w:b w:val="0"/>
                <w:bCs w:val="0"/>
                <w:sz w:val="28"/>
                <w:szCs w:val="28"/>
              </w:rPr>
              <w:t>37</w:t>
            </w:r>
          </w:p>
        </w:tc>
      </w:tr>
      <w:tr w:rsidR="003F1DFB" w:rsidRPr="00BB6AE7">
        <w:trPr>
          <w:trHeight w:val="20"/>
        </w:trPr>
        <w:tc>
          <w:tcPr>
            <w:tcW w:w="14781" w:type="dxa"/>
            <w:gridSpan w:val="2"/>
            <w:vAlign w:val="center"/>
          </w:tcPr>
          <w:p w:rsidR="003F1DFB" w:rsidRDefault="003F1DFB" w:rsidP="00CF548D">
            <w:pPr>
              <w:shd w:val="clear" w:color="auto" w:fill="FFFFFF"/>
              <w:spacing w:line="240" w:lineRule="exact"/>
              <w:jc w:val="center"/>
              <w:rPr>
                <w:sz w:val="24"/>
                <w:szCs w:val="24"/>
              </w:rPr>
            </w:pPr>
          </w:p>
          <w:p w:rsidR="003F1DFB" w:rsidRDefault="003F1DFB" w:rsidP="00CF548D">
            <w:pPr>
              <w:shd w:val="clear" w:color="auto" w:fill="FFFFFF"/>
              <w:spacing w:line="240" w:lineRule="exact"/>
              <w:jc w:val="center"/>
              <w:rPr>
                <w:sz w:val="24"/>
                <w:szCs w:val="24"/>
              </w:rPr>
            </w:pPr>
          </w:p>
          <w:p w:rsidR="003F1DFB" w:rsidRDefault="003F1DFB" w:rsidP="00CF548D">
            <w:pPr>
              <w:shd w:val="clear" w:color="auto" w:fill="FFFFFF"/>
              <w:spacing w:line="240" w:lineRule="exact"/>
              <w:jc w:val="center"/>
              <w:rPr>
                <w:sz w:val="24"/>
                <w:szCs w:val="24"/>
              </w:rPr>
            </w:pPr>
            <w:r w:rsidRPr="00BB6AE7">
              <w:rPr>
                <w:sz w:val="24"/>
                <w:szCs w:val="24"/>
              </w:rPr>
              <w:t>Перечень налоговых расходов Петровского муниципального округа Ставропольского края</w:t>
            </w:r>
          </w:p>
          <w:p w:rsidR="003F1DFB" w:rsidRDefault="003F1DFB" w:rsidP="00CF548D">
            <w:pPr>
              <w:shd w:val="clear" w:color="auto" w:fill="FFFFFF"/>
              <w:spacing w:line="240" w:lineRule="exact"/>
              <w:jc w:val="center"/>
              <w:rPr>
                <w:sz w:val="24"/>
                <w:szCs w:val="24"/>
              </w:rPr>
            </w:pPr>
            <w:r w:rsidRPr="00BB6AE7">
              <w:rPr>
                <w:sz w:val="24"/>
                <w:szCs w:val="24"/>
              </w:rPr>
              <w:t>на 2025 год и плановый период 2026 - 2027 годов</w:t>
            </w:r>
          </w:p>
          <w:p w:rsidR="003F1DFB" w:rsidRPr="00BB6AE7" w:rsidRDefault="003F1DFB" w:rsidP="00CF548D">
            <w:pPr>
              <w:shd w:val="clear" w:color="auto" w:fill="FFFFFF"/>
              <w:spacing w:line="240" w:lineRule="exact"/>
              <w:jc w:val="center"/>
            </w:pPr>
          </w:p>
        </w:tc>
      </w:tr>
    </w:tbl>
    <w:p w:rsidR="003F1DFB" w:rsidRDefault="003F1DFB"/>
    <w:tbl>
      <w:tblPr>
        <w:tblW w:w="15062" w:type="dxa"/>
        <w:tblInd w:w="-106" w:type="dxa"/>
        <w:tblLayout w:type="fixed"/>
        <w:tblLook w:val="00A0"/>
      </w:tblPr>
      <w:tblGrid>
        <w:gridCol w:w="288"/>
        <w:gridCol w:w="1274"/>
        <w:gridCol w:w="1108"/>
        <w:gridCol w:w="1114"/>
        <w:gridCol w:w="1364"/>
        <w:gridCol w:w="1109"/>
        <w:gridCol w:w="999"/>
        <w:gridCol w:w="927"/>
        <w:gridCol w:w="927"/>
        <w:gridCol w:w="873"/>
        <w:gridCol w:w="1348"/>
        <w:gridCol w:w="650"/>
        <w:gridCol w:w="586"/>
        <w:gridCol w:w="1113"/>
        <w:gridCol w:w="801"/>
        <w:gridCol w:w="581"/>
      </w:tblGrid>
      <w:tr w:rsidR="003F1DFB" w:rsidRPr="00BB6AE7" w:rsidTr="00AC1602">
        <w:trPr>
          <w:trHeight w:val="20"/>
        </w:trPr>
        <w:tc>
          <w:tcPr>
            <w:tcW w:w="288"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F548D">
            <w:pPr>
              <w:shd w:val="clear" w:color="auto" w:fill="FFFFFF"/>
              <w:ind w:left="-108" w:right="-122"/>
              <w:jc w:val="center"/>
              <w:rPr>
                <w:b w:val="0"/>
                <w:bCs w:val="0"/>
              </w:rPr>
            </w:pPr>
            <w:r w:rsidRPr="00BB6AE7">
              <w:rPr>
                <w:b w:val="0"/>
                <w:bCs w:val="0"/>
              </w:rPr>
              <w:t>№ п/п</w:t>
            </w:r>
          </w:p>
        </w:tc>
        <w:tc>
          <w:tcPr>
            <w:tcW w:w="1274"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Наименование налога (сбора), по которому нормативно-правовыми актами Петровского муниципального округа Ставропольского края предусматриваются налоговые льготы, освобождения и иные преференции в качестве мер государственной поддержки</w:t>
            </w:r>
          </w:p>
        </w:tc>
        <w:tc>
          <w:tcPr>
            <w:tcW w:w="1108"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Наименование налогового расхода</w:t>
            </w:r>
          </w:p>
        </w:tc>
        <w:tc>
          <w:tcPr>
            <w:tcW w:w="1114"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Реквизиты нормативного правового акта Петровского муниципального округа Ставропольского края, предусматривающего налоговую льготу</w:t>
            </w:r>
          </w:p>
        </w:tc>
        <w:tc>
          <w:tcPr>
            <w:tcW w:w="1364"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Условие предоставления налоговой льготы</w:t>
            </w:r>
          </w:p>
        </w:tc>
        <w:tc>
          <w:tcPr>
            <w:tcW w:w="1109"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Категория получателей налоговой льготы</w:t>
            </w:r>
          </w:p>
        </w:tc>
        <w:tc>
          <w:tcPr>
            <w:tcW w:w="999"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Дата вступления в силу нормативного правового акта Петровского муниципального округа Ставропольского края, устанавливающего налоговую льготу</w:t>
            </w:r>
          </w:p>
        </w:tc>
        <w:tc>
          <w:tcPr>
            <w:tcW w:w="927"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Дата вступления в силу нормативного правового акта Петровского муниципального округа Ставропольского края, отменяющего налоговую льготу</w:t>
            </w:r>
          </w:p>
        </w:tc>
        <w:tc>
          <w:tcPr>
            <w:tcW w:w="927"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Наименование куратора налоговых расходов Петровского муниципального округа Ставропольского края</w:t>
            </w:r>
          </w:p>
        </w:tc>
        <w:tc>
          <w:tcPr>
            <w:tcW w:w="3457" w:type="dxa"/>
            <w:gridSpan w:val="4"/>
            <w:tcBorders>
              <w:top w:val="single" w:sz="4" w:space="0" w:color="000000"/>
              <w:left w:val="single" w:sz="4" w:space="0" w:color="000000"/>
              <w:bottom w:val="single" w:sz="4" w:space="0" w:color="000000"/>
              <w:right w:val="single" w:sz="4" w:space="0" w:color="000000"/>
            </w:tcBorders>
            <w:vAlign w:val="center"/>
          </w:tcPr>
          <w:p w:rsidR="003F1DFB" w:rsidRPr="00BB6AE7" w:rsidRDefault="003F1DFB" w:rsidP="00C43B12">
            <w:pPr>
              <w:shd w:val="clear" w:color="auto" w:fill="FFFFFF"/>
              <w:ind w:left="-9" w:right="-54"/>
              <w:jc w:val="center"/>
              <w:rPr>
                <w:b w:val="0"/>
                <w:bCs w:val="0"/>
              </w:rPr>
            </w:pPr>
            <w:r w:rsidRPr="00BB6AE7">
              <w:rPr>
                <w:b w:val="0"/>
                <w:bCs w:val="0"/>
              </w:rPr>
              <w:t>Муниципальная программа Петровского муниципального округа Ставропольского края, цели которой соответствуют налоговым расходам Петровского муниципального округа Ставропольского края (далее – муниципальная программа)</w:t>
            </w:r>
          </w:p>
        </w:tc>
        <w:tc>
          <w:tcPr>
            <w:tcW w:w="2495" w:type="dxa"/>
            <w:gridSpan w:val="3"/>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Цель социально-экономической политики Петровского муниципального округа Ставропольского края, не относящаяся к муниципальным программам Петровского муниципального округа Ставропольского края (далее – цель социально-экономической политики)</w:t>
            </w:r>
          </w:p>
        </w:tc>
      </w:tr>
      <w:tr w:rsidR="003F1DFB" w:rsidRPr="00BB6AE7" w:rsidTr="00AC1602">
        <w:trPr>
          <w:trHeight w:val="20"/>
        </w:trPr>
        <w:tc>
          <w:tcPr>
            <w:tcW w:w="288" w:type="dxa"/>
            <w:vMerge/>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p>
        </w:tc>
        <w:tc>
          <w:tcPr>
            <w:tcW w:w="127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p>
        </w:tc>
        <w:tc>
          <w:tcPr>
            <w:tcW w:w="1108"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p>
        </w:tc>
        <w:tc>
          <w:tcPr>
            <w:tcW w:w="111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p>
        </w:tc>
        <w:tc>
          <w:tcPr>
            <w:tcW w:w="136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p>
        </w:tc>
        <w:tc>
          <w:tcPr>
            <w:tcW w:w="1109"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p>
        </w:tc>
        <w:tc>
          <w:tcPr>
            <w:tcW w:w="999"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p>
        </w:tc>
        <w:tc>
          <w:tcPr>
            <w:tcW w:w="927"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p>
        </w:tc>
        <w:tc>
          <w:tcPr>
            <w:tcW w:w="927"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p>
        </w:tc>
        <w:tc>
          <w:tcPr>
            <w:tcW w:w="873"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наименование муниципальной программы</w:t>
            </w:r>
          </w:p>
        </w:tc>
        <w:tc>
          <w:tcPr>
            <w:tcW w:w="1348"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реквизиты нормативного правового акта, предусматривающего утверждение муниципальной программы</w:t>
            </w:r>
          </w:p>
        </w:tc>
        <w:tc>
          <w:tcPr>
            <w:tcW w:w="1236" w:type="dxa"/>
            <w:gridSpan w:val="2"/>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индикатор достижения цели муниципальная программы</w:t>
            </w:r>
          </w:p>
        </w:tc>
        <w:tc>
          <w:tcPr>
            <w:tcW w:w="1113" w:type="dxa"/>
            <w:vMerge w:val="restart"/>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реквизиты нормативного правового акта, предусматривающего цель социально-экономической политики</w:t>
            </w:r>
          </w:p>
        </w:tc>
        <w:tc>
          <w:tcPr>
            <w:tcW w:w="1382" w:type="dxa"/>
            <w:gridSpan w:val="2"/>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показатель достижения цели социально-экономической политики</w:t>
            </w:r>
          </w:p>
        </w:tc>
      </w:tr>
      <w:tr w:rsidR="003F1DFB" w:rsidRPr="00BB6AE7" w:rsidTr="00AC1602">
        <w:trPr>
          <w:trHeight w:val="20"/>
        </w:trPr>
        <w:tc>
          <w:tcPr>
            <w:tcW w:w="288" w:type="dxa"/>
            <w:vMerge/>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p>
        </w:tc>
        <w:tc>
          <w:tcPr>
            <w:tcW w:w="127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p>
        </w:tc>
        <w:tc>
          <w:tcPr>
            <w:tcW w:w="1108"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p>
        </w:tc>
        <w:tc>
          <w:tcPr>
            <w:tcW w:w="111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p>
        </w:tc>
        <w:tc>
          <w:tcPr>
            <w:tcW w:w="1364"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p>
        </w:tc>
        <w:tc>
          <w:tcPr>
            <w:tcW w:w="1109"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p>
        </w:tc>
        <w:tc>
          <w:tcPr>
            <w:tcW w:w="999"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p>
        </w:tc>
        <w:tc>
          <w:tcPr>
            <w:tcW w:w="927"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p>
        </w:tc>
        <w:tc>
          <w:tcPr>
            <w:tcW w:w="927"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p>
        </w:tc>
        <w:tc>
          <w:tcPr>
            <w:tcW w:w="873"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наименование</w:t>
            </w: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значение</w:t>
            </w:r>
          </w:p>
        </w:tc>
        <w:tc>
          <w:tcPr>
            <w:tcW w:w="1113" w:type="dxa"/>
            <w:vMerge/>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наименование</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значение</w:t>
            </w: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2</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3</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5</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6</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7</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8</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9</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10</w:t>
            </w: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11</w:t>
            </w: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12</w:t>
            </w: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r w:rsidRPr="00BB6AE7">
              <w:rPr>
                <w:b w:val="0"/>
                <w:bCs w:val="0"/>
              </w:rPr>
              <w:t>13</w:t>
            </w: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14</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15</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16</w:t>
            </w: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участников и инвалидов Великой Отечественной войны</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Pr>
                <w:b w:val="0"/>
                <w:bCs w:val="0"/>
              </w:rPr>
              <w:t>р</w:t>
            </w:r>
            <w:r w:rsidRPr="00BB6AE7">
              <w:rPr>
                <w:b w:val="0"/>
                <w:bCs w:val="0"/>
              </w:rPr>
              <w:t>ешение Совета депутатов Петровского городского округа Ставропольского края от 23.11.2017 г. №</w:t>
            </w:r>
            <w:r>
              <w:rPr>
                <w:b w:val="0"/>
                <w:bCs w:val="0"/>
              </w:rPr>
              <w:t xml:space="preserve"> </w:t>
            </w:r>
            <w:r w:rsidRPr="00BB6AE7">
              <w:rPr>
                <w:b w:val="0"/>
                <w:bCs w:val="0"/>
              </w:rPr>
              <w:t xml:space="preserve">29 </w:t>
            </w:r>
            <w:r>
              <w:rPr>
                <w:b w:val="0"/>
                <w:bCs w:val="0"/>
              </w:rPr>
              <w:t>«</w:t>
            </w:r>
            <w:r w:rsidRPr="00BB6AE7">
              <w:rPr>
                <w:b w:val="0"/>
                <w:bCs w:val="0"/>
              </w:rPr>
              <w:t>О земельном налоге на территории муниципального образования Петровского муниципального округа Ставропольского края</w:t>
            </w:r>
            <w:r>
              <w:rPr>
                <w:b w:val="0"/>
                <w:bCs w:val="0"/>
              </w:rPr>
              <w:t>»</w:t>
            </w:r>
            <w:r w:rsidRPr="00BB6AE7">
              <w:rPr>
                <w:b w:val="0"/>
                <w:bCs w:val="0"/>
              </w:rPr>
              <w:t xml:space="preserve"> (далее — Решение № 29) (п.4)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для индивидуального жилищного строительства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Участники и инвалиды Великой Отечественной войны</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 xml:space="preserve">решение </w:t>
            </w:r>
            <w:r>
              <w:rPr>
                <w:b w:val="0"/>
                <w:bCs w:val="0"/>
              </w:rPr>
              <w:t>С</w:t>
            </w:r>
            <w:r w:rsidRPr="00BB6AE7">
              <w:rPr>
                <w:b w:val="0"/>
                <w:bCs w:val="0"/>
              </w:rPr>
              <w:t xml:space="preserve">овета депутатов Петровского городского округа Ставропольского края </w:t>
            </w:r>
            <w:r>
              <w:rPr>
                <w:b w:val="0"/>
                <w:bCs w:val="0"/>
              </w:rPr>
              <w:t xml:space="preserve">             </w:t>
            </w:r>
            <w:r w:rsidRPr="00BB6AE7">
              <w:rPr>
                <w:b w:val="0"/>
                <w:bCs w:val="0"/>
              </w:rPr>
              <w:t xml:space="preserve">№ 196 от 14.12.2018 </w:t>
            </w:r>
            <w:r>
              <w:rPr>
                <w:b w:val="0"/>
                <w:bCs w:val="0"/>
              </w:rPr>
              <w:t>«</w:t>
            </w:r>
            <w:r w:rsidRPr="00BB6AE7">
              <w:rPr>
                <w:b w:val="0"/>
                <w:bCs w:val="0"/>
              </w:rPr>
              <w:t>Об утверждении стратегии социально-экономического развития Петровского муниципального округа Ставропольского края до 2035 года</w:t>
            </w:r>
            <w:r>
              <w:rPr>
                <w:b w:val="0"/>
                <w:bCs w:val="0"/>
              </w:rPr>
              <w:t>»</w:t>
            </w:r>
            <w:r w:rsidRPr="00BB6AE7">
              <w:rPr>
                <w:b w:val="0"/>
                <w:bCs w:val="0"/>
              </w:rPr>
              <w:t xml:space="preserve"> (с изм. от 14.12.2023 г.) (далее — решение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2</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22.06.1942 г. по 03.09.1945 г. не менее 6 месяцев</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 29   (п.4)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для индивидуального жилищного строительства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военнослужащие, проходивших военную службу в воинских частях, учреждениях, военно-учебных заведениях, не входивших в состав действующей армии в период с 22.06.1942 г. по 03.09.1945 г. не менее 6 месяцев</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3</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вдов погибших участников Великой Отечественной Войны</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w:t>
            </w:r>
            <w:r>
              <w:rPr>
                <w:b w:val="0"/>
                <w:bCs w:val="0"/>
              </w:rPr>
              <w:t xml:space="preserve"> </w:t>
            </w:r>
            <w:r w:rsidRPr="00BB6AE7">
              <w:rPr>
                <w:b w:val="0"/>
                <w:bCs w:val="0"/>
              </w:rPr>
              <w:t>29 (п.4)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для индивидуального жилищного строительства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 xml:space="preserve"> вдовы погибших участников Великой Отечественной Войны</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4</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граждан, уволенных с военной службы или призывавшихся на военные сборы, выполняющих интернациональный долг в Афганистане и других странах, в которых велись боевые действия</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w:t>
            </w:r>
            <w:r>
              <w:rPr>
                <w:b w:val="0"/>
                <w:bCs w:val="0"/>
              </w:rPr>
              <w:t xml:space="preserve"> </w:t>
            </w:r>
            <w:r w:rsidRPr="00BB6AE7">
              <w:rPr>
                <w:b w:val="0"/>
                <w:bCs w:val="0"/>
              </w:rPr>
              <w:t>29 (п.4)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одного земельного участка по выбору налогоплательщика для индивидуального жилищного строительства, личного подсобного хозяйства, садоводства, огородничества или животноводства, а также дачного хозяйства, находящегося в собственности, постоянном (бессрочном) пользовании или пожизненном наследуемом владении</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граждане, уволенные с военной службы или призывавшиеся на военные сборы, выполняющие интернациональный долг в Афганистане и других странах, в которых велись боевые действия</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5</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супругов, не вступивших в повторный брак, и родителей ветеранов боевых действий из числа военнослужащих и лиц, указанных в</w:t>
            </w:r>
            <w:hyperlink r:id="rId4">
              <w:r w:rsidRPr="00BB6AE7">
                <w:rPr>
                  <w:b w:val="0"/>
                  <w:bCs w:val="0"/>
                </w:rPr>
                <w:t xml:space="preserve"> статье 3</w:t>
              </w:r>
            </w:hyperlink>
            <w:r w:rsidRPr="00BB6AE7">
              <w:rPr>
                <w:b w:val="0"/>
                <w:bCs w:val="0"/>
              </w:rPr>
              <w:t xml:space="preserve"> Федерального закона «О ветеранах», погибших при исполнении служебных обязанностей (обязанностей военной службы), в отношении одного земельного участка по выбору налогоплательщика для ИЖС, личного подсобного хозяйства, находящегося в собственности</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w:t>
            </w:r>
            <w:r>
              <w:rPr>
                <w:b w:val="0"/>
                <w:bCs w:val="0"/>
              </w:rPr>
              <w:t xml:space="preserve"> </w:t>
            </w:r>
            <w:r w:rsidRPr="00BB6AE7">
              <w:rPr>
                <w:b w:val="0"/>
                <w:bCs w:val="0"/>
              </w:rPr>
              <w:t>29 (в ред. решения от 20.05.2021 г. № 46) (п.4)</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для индивидуального жилищного строительства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 xml:space="preserve"> вдовы погибших участников Великой Отечественной Войны</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01.01.2021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6</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уменьшение налоговой базы на 80% кадастровой стоимости земельного участка после применения положений п.5 ст.391 Налогового кодекса Российской Федерации для граждан, достигших возраста: мужчины - 60 дет, женщины - 55 лет.</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w:t>
            </w:r>
            <w:r>
              <w:rPr>
                <w:b w:val="0"/>
                <w:bCs w:val="0"/>
              </w:rPr>
              <w:t xml:space="preserve"> </w:t>
            </w:r>
            <w:r w:rsidRPr="00BB6AE7">
              <w:rPr>
                <w:b w:val="0"/>
                <w:bCs w:val="0"/>
              </w:rPr>
              <w:t xml:space="preserve">29 (в редакции Решения от 23.11.2018 г. </w:t>
            </w:r>
            <w:r>
              <w:rPr>
                <w:b w:val="0"/>
                <w:bCs w:val="0"/>
              </w:rPr>
              <w:t xml:space="preserve">        </w:t>
            </w:r>
            <w:r w:rsidRPr="00BB6AE7">
              <w:rPr>
                <w:b w:val="0"/>
                <w:bCs w:val="0"/>
              </w:rPr>
              <w:t>№</w:t>
            </w:r>
            <w:r>
              <w:rPr>
                <w:b w:val="0"/>
                <w:bCs w:val="0"/>
              </w:rPr>
              <w:t xml:space="preserve"> </w:t>
            </w:r>
            <w:r w:rsidRPr="00BB6AE7">
              <w:rPr>
                <w:b w:val="0"/>
                <w:bCs w:val="0"/>
              </w:rPr>
              <w:t>180) (п.5)</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уменьшение налоговой базы на 80% кадастровой стоимости земельного участка после применения положений п.5 ст.391 Налогового кодекса Российской Федерации в населенных пунктах численностью менее 10 000 человек для граждан, достигших возраста: мужчины - 60 дет, женщины - 55 лет, в отношении одного земельного участка по выбору налогоплательщика для индивидуального жилищного строительства, личного подсобного хозяйства, садоводства, огородничества или животноводства, а также дачного хозяйства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 xml:space="preserve"> граждане, достигшие возраста: мужчины - 60 дет, женщины - 55 лет в населенных пунктах численностью менее 10 000 человек</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01.01.2019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7</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граждан от уплаты налога за земельные участки, вышедшие из хозяйственного оборота вследствие чрезвычайной ситуации</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(п.6)</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граждан от уплаты налога за земельные участки, вышедшие из хозяйственного оборота вследствие чрезвычайной ситуации, на основании постановления администрации Петровского городского округа Ставропольского края по заключению комиссии, созданной администрацией Петровского городского округа Ставропольского края</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собственники земельных участков, вышедших из хозяйственного оборота вследствие чрезвычайной ситуации</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8</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в отношении несовершеннолетних детей, получивших земельные участки для индивидуального жилищного строительства в порядке наследования от родителей</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(п.7)</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в отношении несовершеннолетних детей, получивших земельные участки для индивидуального жилищного строительства в порядке наследования от родителей</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несовершеннолетние дети, получившие земельные участки для индивидуального жилищного строительства в порядке наследования от родителей</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9</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для неработающих родителей, опекунов или попечителей, на содержании которых находится совместно с ними проживающий инвалид с детства или инвалид первой группы</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(п.7)</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в отношении земельных участков для индивидуального жилищного строительства, находящихся в собственности, постоянном (бессрочном) пользовании или пожизненном наследуемом владении неработающих родителей, опекунов или попечителей, на содержании которых находится совместно с ними проживающий инвалид с детства или инвалид первой группы</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неработающие родители, опекуны или попечители, на содержании которых находится совместно с ними проживающий инвалид с детства или инвалид первой группы</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10</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для многодетных родителей и иных членов многодетных семей, признанных малоимущими в установленном законом порядке</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(п.7)</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в отношении земельных участков для индивидуального жилищного строительства, находящихся в собственности, постоянном (бессрочном) пользовании или пожизненном наследуемом владении многодетных родителей и иных членов многодетных семей, признанных малоимущими в установленном законом порядке</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многодетные родители и иные члены многодетных семей, признанные малоимущими в установленном законом порядке</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11</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для родителей и супругов, не вступивших в повторный брак, военнослужащих и государственных служащих, погибших при исполнении служебных обязанностей</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(п.7)</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уменьшение налоговой базы на необлагаемую налогом сумму в размере 10 000 рублей на одного налогоплательщика в отношении земельных участков для индивидуального жилищного строительства, находящихся в собственности, постоянном (бессрочном) пользовании или пожизненном наследуемом владении родителей и супругов, не вступивших в повторный брак, военнослужащих и государственных служащих, погибших при исполнении служебных обязанностей. Льгота предоставляется на основании справки о гибели военнослужащего либо государственного служащего, выданной соответствующими государственными органами</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родители и супруги, не вступившие в повторный брак, военнослужащих и государственных служащих, погибших при исполнении служебных обязанностей</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01.01.2018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12</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организаций</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(п.4) в редакции от 16.12.2021 г. № 141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занятых автомобильными дорогами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организации</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01.01.2022</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х</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color w:val="000000"/>
                <w:shd w:val="clear" w:color="auto" w:fill="FFFFFF"/>
              </w:rPr>
              <w:t>Уменьшение встречных финансовых потоков</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13</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jc w:val="center"/>
              <w:rPr>
                <w:b w:val="0"/>
                <w:bCs w:val="0"/>
              </w:rPr>
            </w:pPr>
            <w:r w:rsidRPr="00BB6AE7">
              <w:rPr>
                <w:b w:val="0"/>
                <w:bCs w:val="0"/>
              </w:rPr>
              <w:t>освобождение от уплаты налога организаций</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(п.4) в редакции от 16.12.2021 г. № 141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налога в отношении земельных участков, на которых размещены места погребения (кладбища)</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организации</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01.01.2022</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х</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color w:val="000000"/>
                <w:shd w:val="clear" w:color="auto" w:fill="FFFFFF"/>
              </w:rPr>
              <w:t>Уменьшение встречных финансовых потоков</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14</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rPr>
                <w:b w:val="0"/>
                <w:bCs w:val="0"/>
              </w:rPr>
            </w:pPr>
            <w:r w:rsidRPr="00BB6AE7">
              <w:rPr>
                <w:b w:val="0"/>
                <w:bCs w:val="0"/>
              </w:rPr>
              <w:t>Освобождение от уплаты земельного налога  граждан, проходящих (проходивших)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 проходящих (проходивших) службу в войсках национальной гвардии Российской Федерации, имеющих (имевших) специальные звания полиции, принимающих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супругу (супруга)</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(п.4) в редакции от 31.10.2024 № 91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земельного налога в отношении одного земельного участка, приобретенного (предоставленного) для ИЖС, ведения личного подсобного хозяйства, садоводства или огородничества, и не используемого в предпринимательской деятельности за налоговый период 202-2024 годов</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rPr>
                <w:b w:val="0"/>
                <w:bCs w:val="0"/>
              </w:rPr>
            </w:pPr>
            <w:r w:rsidRPr="00BB6AE7">
              <w:rPr>
                <w:b w:val="0"/>
                <w:bCs w:val="0"/>
              </w:rPr>
              <w:t>граждане,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лица, проходящие (проходившие) службу в войсках национальной гвардии Российской Федерации, имеющие (имевшие) специальные звания полиции, принимающие (принимавшие)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30.06.2023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color w:val="000000"/>
                <w:shd w:val="clear" w:color="auto" w:fill="FFFFFF"/>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15</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rPr>
                <w:b w:val="0"/>
                <w:bCs w:val="0"/>
              </w:rPr>
            </w:pPr>
            <w:r w:rsidRPr="00BB6AE7">
              <w:rPr>
                <w:b w:val="0"/>
                <w:bCs w:val="0"/>
              </w:rPr>
              <w:t>Освобождение от уплаты земельного налога граждан,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участвующих (участвовавших) в специальной военной операции, либо их супругу (супруга)</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(п.4) в редакции от 31.10.2024 № 91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земельного налога в отношении одного земельного участка, приобретенного (предоставленного) для ИЖС, ведения личного подсобного хозяйства, садоводства или огородничества, и не используемого в предпринимательской деятельности за налоговый период 2022-2024 годов</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jc w:val="center"/>
              <w:rPr>
                <w:b w:val="0"/>
                <w:bCs w:val="0"/>
              </w:rPr>
            </w:pPr>
            <w:r w:rsidRPr="00BB6AE7">
              <w:rPr>
                <w:b w:val="0"/>
                <w:bCs w:val="0"/>
              </w:rP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участвующие (участвовавшие) в специальной военной операции, либо их супруг (супруга)</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30.06.2023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color w:val="000000"/>
                <w:shd w:val="clear" w:color="auto" w:fill="FFFFFF"/>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16</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70"/>
              <w:rPr>
                <w:b w:val="0"/>
                <w:bCs w:val="0"/>
              </w:rPr>
            </w:pPr>
            <w:r w:rsidRPr="00BB6AE7">
              <w:rPr>
                <w:b w:val="0"/>
                <w:bCs w:val="0"/>
              </w:rPr>
              <w:t>Освобождение от уплаты земельного налога граждан, заключивших контракт (контракты)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 либо их супругу (супруга)</w:t>
            </w: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(п.4) в редакции от 31.10.2024 № 91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земельного налога в отношении одного земельного участка, приобретенного (предоставленного) для ИЖС, ведения личного подсобного хозяйства, садоводства или огородничества, и не используемого в предпринимательской деятельности за налоговый период 2022 -2024 годов</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6" w:right="6"/>
              <w:rPr>
                <w:b w:val="0"/>
                <w:bCs w:val="0"/>
              </w:rPr>
            </w:pPr>
            <w:r w:rsidRPr="00BB6AE7">
              <w:rPr>
                <w:b w:val="0"/>
                <w:bCs w:val="0"/>
              </w:rPr>
              <w:t>граждане, заключившие контракт (контракты)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 либо их супруг (супруга)</w:t>
            </w: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30.06.2023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color w:val="000000"/>
                <w:shd w:val="clear" w:color="auto" w:fill="FFFFFF"/>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r w:rsidR="003F1DFB" w:rsidRPr="00BB6AE7" w:rsidTr="00AC1602">
        <w:trPr>
          <w:trHeight w:val="20"/>
        </w:trPr>
        <w:tc>
          <w:tcPr>
            <w:tcW w:w="288" w:type="dxa"/>
            <w:tcBorders>
              <w:top w:val="single" w:sz="4" w:space="0" w:color="000000"/>
              <w:left w:val="single" w:sz="4" w:space="0" w:color="000000"/>
              <w:bottom w:val="single" w:sz="4" w:space="0" w:color="000000"/>
              <w:right w:val="single" w:sz="4" w:space="0" w:color="000000"/>
            </w:tcBorders>
          </w:tcPr>
          <w:p w:rsidR="003F1DFB" w:rsidRPr="00BB6AE7" w:rsidRDefault="003F1DFB">
            <w:pPr>
              <w:shd w:val="clear" w:color="auto" w:fill="FFFFFF"/>
              <w:jc w:val="center"/>
              <w:rPr>
                <w:b w:val="0"/>
                <w:bCs w:val="0"/>
              </w:rPr>
            </w:pPr>
            <w:r w:rsidRPr="00BB6AE7">
              <w:rPr>
                <w:b w:val="0"/>
                <w:bCs w:val="0"/>
              </w:rPr>
              <w:t>17</w:t>
            </w:r>
          </w:p>
        </w:tc>
        <w:tc>
          <w:tcPr>
            <w:tcW w:w="127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56"/>
              <w:jc w:val="center"/>
              <w:rPr>
                <w:b w:val="0"/>
                <w:bCs w:val="0"/>
              </w:rPr>
            </w:pPr>
            <w:r w:rsidRPr="00BB6AE7">
              <w:rPr>
                <w:b w:val="0"/>
                <w:bCs w:val="0"/>
              </w:rPr>
              <w:t>Земельный налог</w:t>
            </w:r>
          </w:p>
        </w:tc>
        <w:tc>
          <w:tcPr>
            <w:tcW w:w="110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ind w:left="-70"/>
              <w:jc w:val="both"/>
              <w:rPr>
                <w:b w:val="0"/>
                <w:bCs w:val="0"/>
              </w:rPr>
            </w:pPr>
            <w:r w:rsidRPr="00BB6AE7">
              <w:rPr>
                <w:b w:val="0"/>
                <w:bCs w:val="0"/>
              </w:rPr>
              <w:t>Освобождение от уплаты земельного налога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их супругу (супруга)</w:t>
            </w:r>
          </w:p>
          <w:p w:rsidR="003F1DFB" w:rsidRPr="00BB6AE7" w:rsidRDefault="003F1DFB" w:rsidP="00C43B12">
            <w:pPr>
              <w:shd w:val="clear" w:color="auto" w:fill="FFFFFF"/>
              <w:ind w:left="-70"/>
              <w:jc w:val="center"/>
              <w:rPr>
                <w:b w:val="0"/>
                <w:bCs w:val="0"/>
              </w:rPr>
            </w:pPr>
          </w:p>
        </w:tc>
        <w:tc>
          <w:tcPr>
            <w:tcW w:w="111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8" w:right="-84"/>
              <w:jc w:val="center"/>
              <w:rPr>
                <w:b w:val="0"/>
                <w:bCs w:val="0"/>
              </w:rPr>
            </w:pPr>
            <w:r w:rsidRPr="00BB6AE7">
              <w:rPr>
                <w:b w:val="0"/>
                <w:bCs w:val="0"/>
              </w:rPr>
              <w:t>Решение №29 "О земельном налоге  (п.4) в редакции от 31.10.2024 № 91</w:t>
            </w:r>
          </w:p>
        </w:tc>
        <w:tc>
          <w:tcPr>
            <w:tcW w:w="1364"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9"/>
              <w:jc w:val="center"/>
              <w:rPr>
                <w:b w:val="0"/>
                <w:bCs w:val="0"/>
              </w:rPr>
            </w:pPr>
            <w:r w:rsidRPr="00BB6AE7">
              <w:rPr>
                <w:b w:val="0"/>
                <w:bCs w:val="0"/>
              </w:rPr>
              <w:t>Освобождение от уплаты земельного налога в отношении одного земельного участка, приобретенного (предоставленного) для ИЖС, ведения личного подсобного хозяйства, садоводства или огородничества, и не используемого в предпринимательской деятельности за налоговый период 2022-2024 годов</w:t>
            </w:r>
          </w:p>
        </w:tc>
        <w:tc>
          <w:tcPr>
            <w:tcW w:w="110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ind w:left="-6" w:right="6"/>
              <w:jc w:val="both"/>
              <w:rPr>
                <w:b w:val="0"/>
                <w:bCs w:val="0"/>
              </w:rPr>
            </w:pPr>
            <w:r w:rsidRPr="00BB6AE7">
              <w:rPr>
                <w:b w:val="0"/>
                <w:bCs w:val="0"/>
              </w:rPr>
              <w:t>граждане, призванные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их супруг (супруга)</w:t>
            </w:r>
          </w:p>
          <w:p w:rsidR="003F1DFB" w:rsidRPr="00BB6AE7" w:rsidRDefault="003F1DFB" w:rsidP="00C43B12">
            <w:pPr>
              <w:shd w:val="clear" w:color="auto" w:fill="FFFFFF"/>
              <w:ind w:left="-6" w:right="6"/>
              <w:jc w:val="center"/>
              <w:rPr>
                <w:b w:val="0"/>
                <w:bCs w:val="0"/>
              </w:rPr>
            </w:pPr>
          </w:p>
        </w:tc>
        <w:tc>
          <w:tcPr>
            <w:tcW w:w="999"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36" w:right="-81"/>
              <w:jc w:val="center"/>
              <w:rPr>
                <w:b w:val="0"/>
                <w:bCs w:val="0"/>
              </w:rPr>
            </w:pPr>
            <w:r w:rsidRPr="00BB6AE7">
              <w:rPr>
                <w:b w:val="0"/>
                <w:bCs w:val="0"/>
              </w:rPr>
              <w:t>30.06.2023 г.</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15" w:right="-54"/>
              <w:jc w:val="center"/>
              <w:rPr>
                <w:b w:val="0"/>
                <w:bCs w:val="0"/>
              </w:rPr>
            </w:pPr>
            <w:r w:rsidRPr="00BB6AE7">
              <w:rPr>
                <w:b w:val="0"/>
                <w:bCs w:val="0"/>
              </w:rPr>
              <w:t xml:space="preserve"> не установлено</w:t>
            </w:r>
          </w:p>
        </w:tc>
        <w:tc>
          <w:tcPr>
            <w:tcW w:w="927"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right="-27"/>
              <w:jc w:val="center"/>
              <w:rPr>
                <w:b w:val="0"/>
                <w:bCs w:val="0"/>
              </w:rPr>
            </w:pPr>
            <w:r w:rsidRPr="00BB6AE7">
              <w:rPr>
                <w:b w:val="0"/>
                <w:bCs w:val="0"/>
              </w:rPr>
              <w:t>финансовое управление администрации Петровского муниципального округа Ставропольского края</w:t>
            </w:r>
          </w:p>
        </w:tc>
        <w:tc>
          <w:tcPr>
            <w:tcW w:w="87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348"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650"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586"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ind w:left="-9" w:right="-54"/>
              <w:jc w:val="center"/>
              <w:rPr>
                <w:b w:val="0"/>
                <w:bCs w:val="0"/>
              </w:rPr>
            </w:pPr>
          </w:p>
        </w:tc>
        <w:tc>
          <w:tcPr>
            <w:tcW w:w="1113"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r w:rsidRPr="00BB6AE7">
              <w:rPr>
                <w:b w:val="0"/>
                <w:bCs w:val="0"/>
              </w:rPr>
              <w:t>решение  № 196</w:t>
            </w:r>
          </w:p>
        </w:tc>
        <w:tc>
          <w:tcPr>
            <w:tcW w:w="80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color w:val="000000"/>
                <w:shd w:val="clear" w:color="auto" w:fill="FFFFFF"/>
              </w:rPr>
            </w:pPr>
            <w:r w:rsidRPr="00BB6AE7">
              <w:rPr>
                <w:b w:val="0"/>
                <w:bCs w:val="0"/>
              </w:rPr>
              <w:t>повышение уровня жизни населения</w:t>
            </w:r>
          </w:p>
        </w:tc>
        <w:tc>
          <w:tcPr>
            <w:tcW w:w="581" w:type="dxa"/>
            <w:tcBorders>
              <w:top w:val="single" w:sz="4" w:space="0" w:color="000000"/>
              <w:left w:val="single" w:sz="4" w:space="0" w:color="000000"/>
              <w:bottom w:val="single" w:sz="4" w:space="0" w:color="000000"/>
              <w:right w:val="single" w:sz="4" w:space="0" w:color="000000"/>
            </w:tcBorders>
          </w:tcPr>
          <w:p w:rsidR="003F1DFB" w:rsidRPr="00BB6AE7" w:rsidRDefault="003F1DFB" w:rsidP="00C43B12">
            <w:pPr>
              <w:shd w:val="clear" w:color="auto" w:fill="FFFFFF"/>
              <w:jc w:val="center"/>
              <w:rPr>
                <w:b w:val="0"/>
                <w:bCs w:val="0"/>
              </w:rPr>
            </w:pPr>
          </w:p>
        </w:tc>
      </w:tr>
    </w:tbl>
    <w:p w:rsidR="003F1DFB" w:rsidRDefault="003F1DFB">
      <w:pPr>
        <w:shd w:val="clear" w:color="auto" w:fill="FFFFFF"/>
        <w:jc w:val="center"/>
        <w:rPr>
          <w:b w:val="0"/>
          <w:bCs w:val="0"/>
        </w:rPr>
      </w:pPr>
    </w:p>
    <w:p w:rsidR="003F1DFB" w:rsidRDefault="003F1DFB">
      <w:pPr>
        <w:shd w:val="clear" w:color="auto" w:fill="FFFFFF"/>
        <w:jc w:val="center"/>
        <w:rPr>
          <w:b w:val="0"/>
          <w:bCs w:val="0"/>
        </w:rPr>
      </w:pPr>
    </w:p>
    <w:p w:rsidR="003F1DFB" w:rsidRDefault="003F1DFB">
      <w:pPr>
        <w:shd w:val="clear" w:color="auto" w:fill="FFFFFF"/>
        <w:jc w:val="center"/>
        <w:rPr>
          <w:b w:val="0"/>
          <w:bCs w:val="0"/>
        </w:rPr>
      </w:pPr>
    </w:p>
    <w:p w:rsidR="003F1DFB" w:rsidRDefault="003F1DFB">
      <w:pPr>
        <w:shd w:val="clear" w:color="auto" w:fill="FFFFFF"/>
        <w:jc w:val="center"/>
        <w:rPr>
          <w:b w:val="0"/>
          <w:bCs w:val="0"/>
        </w:rPr>
      </w:pPr>
    </w:p>
    <w:p w:rsidR="003F1DFB" w:rsidRDefault="003F1DFB">
      <w:pPr>
        <w:shd w:val="clear" w:color="auto" w:fill="FFFFFF"/>
        <w:jc w:val="center"/>
        <w:rPr>
          <w:b w:val="0"/>
          <w:bCs w:val="0"/>
        </w:rPr>
      </w:pPr>
    </w:p>
    <w:p w:rsidR="003F1DFB" w:rsidRDefault="003F1DFB">
      <w:pPr>
        <w:shd w:val="clear" w:color="auto" w:fill="FFFFFF"/>
        <w:jc w:val="center"/>
        <w:rPr>
          <w:b w:val="0"/>
          <w:bCs w:val="0"/>
        </w:rPr>
      </w:pPr>
    </w:p>
    <w:p w:rsidR="003F1DFB" w:rsidRDefault="003F1DFB">
      <w:pPr>
        <w:rPr>
          <w:b w:val="0"/>
          <w:bCs w:val="0"/>
        </w:rPr>
      </w:pPr>
    </w:p>
    <w:sectPr w:rsidR="003F1DFB" w:rsidSect="00AC1602">
      <w:pgSz w:w="16838" w:h="11906" w:orient="landscape"/>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2B9"/>
    <w:rsid w:val="002149D2"/>
    <w:rsid w:val="002C4035"/>
    <w:rsid w:val="003F1DFB"/>
    <w:rsid w:val="00520CD8"/>
    <w:rsid w:val="005F33AF"/>
    <w:rsid w:val="009C22B9"/>
    <w:rsid w:val="00AC1602"/>
    <w:rsid w:val="00B5317A"/>
    <w:rsid w:val="00BB6AE7"/>
    <w:rsid w:val="00C43B12"/>
    <w:rsid w:val="00C76A74"/>
    <w:rsid w:val="00CE7C5D"/>
    <w:rsid w:val="00CF54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35"/>
    <w:pPr>
      <w:suppressAutoHyphens/>
    </w:pPr>
    <w:rPr>
      <w:rFonts w:ascii="Times New Roman" w:hAnsi="Times New Roman"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uiPriority w:val="99"/>
    <w:locked/>
    <w:rsid w:val="002C4035"/>
    <w:rPr>
      <w:rFonts w:ascii="Courier New" w:hAnsi="Courier New" w:cs="Courier New"/>
      <w:sz w:val="22"/>
      <w:szCs w:val="22"/>
      <w:lang w:val="ru-RU" w:eastAsia="ru-RU"/>
    </w:rPr>
  </w:style>
  <w:style w:type="character" w:styleId="Hyperlink">
    <w:name w:val="Hyperlink"/>
    <w:basedOn w:val="DefaultParagraphFont"/>
    <w:uiPriority w:val="99"/>
    <w:rsid w:val="009C22B9"/>
    <w:rPr>
      <w:color w:val="000080"/>
      <w:u w:val="single"/>
    </w:rPr>
  </w:style>
  <w:style w:type="paragraph" w:customStyle="1" w:styleId="a">
    <w:name w:val="Заголовок"/>
    <w:basedOn w:val="Normal"/>
    <w:next w:val="BodyText"/>
    <w:uiPriority w:val="99"/>
    <w:rsid w:val="009C22B9"/>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22B9"/>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b/>
      <w:bCs/>
      <w:sz w:val="20"/>
      <w:szCs w:val="20"/>
    </w:rPr>
  </w:style>
  <w:style w:type="paragraph" w:styleId="List">
    <w:name w:val="List"/>
    <w:basedOn w:val="BodyText"/>
    <w:uiPriority w:val="99"/>
    <w:rsid w:val="009C22B9"/>
  </w:style>
  <w:style w:type="paragraph" w:styleId="Caption">
    <w:name w:val="caption"/>
    <w:basedOn w:val="Normal"/>
    <w:uiPriority w:val="99"/>
    <w:qFormat/>
    <w:rsid w:val="009C22B9"/>
    <w:pPr>
      <w:suppressLineNumbers/>
      <w:spacing w:before="120" w:after="120"/>
    </w:pPr>
    <w:rPr>
      <w:i/>
      <w:iCs/>
      <w:sz w:val="24"/>
      <w:szCs w:val="24"/>
    </w:rPr>
  </w:style>
  <w:style w:type="paragraph" w:styleId="Index1">
    <w:name w:val="index 1"/>
    <w:basedOn w:val="Normal"/>
    <w:next w:val="Normal"/>
    <w:autoRedefine/>
    <w:uiPriority w:val="99"/>
    <w:semiHidden/>
    <w:rsid w:val="002C4035"/>
    <w:pPr>
      <w:ind w:left="200" w:hanging="200"/>
    </w:pPr>
  </w:style>
  <w:style w:type="paragraph" w:styleId="IndexHeading">
    <w:name w:val="index heading"/>
    <w:basedOn w:val="Normal"/>
    <w:uiPriority w:val="99"/>
    <w:semiHidden/>
    <w:rsid w:val="009C22B9"/>
    <w:pPr>
      <w:suppressLineNumbers/>
    </w:pPr>
  </w:style>
  <w:style w:type="paragraph" w:customStyle="1" w:styleId="ConsNonformat0">
    <w:name w:val="ConsNonformat"/>
    <w:link w:val="ConsNonformat"/>
    <w:uiPriority w:val="99"/>
    <w:rsid w:val="002C4035"/>
    <w:pPr>
      <w:widowControl w:val="0"/>
      <w:suppressAutoHyphens/>
    </w:pPr>
    <w:rPr>
      <w:rFonts w:ascii="Courier New" w:hAnsi="Courier New" w:cs="Courier New"/>
    </w:rPr>
  </w:style>
  <w:style w:type="paragraph" w:customStyle="1" w:styleId="121">
    <w:name w:val="Знак Знак12 Знак Знак1 Знак Знак Знак Знак"/>
    <w:basedOn w:val="Normal"/>
    <w:uiPriority w:val="99"/>
    <w:rsid w:val="002C4035"/>
    <w:pPr>
      <w:spacing w:beforeAutospacing="1" w:afterAutospacing="1"/>
    </w:pPr>
    <w:rPr>
      <w:rFonts w:ascii="Tahoma" w:eastAsia="Times New Roman" w:hAnsi="Tahoma" w:cs="Tahoma"/>
      <w:b w:val="0"/>
      <w:bCs w:val="0"/>
      <w:lang w:val="en-US" w:eastAsia="en-US"/>
    </w:rPr>
  </w:style>
  <w:style w:type="paragraph" w:customStyle="1" w:styleId="a0">
    <w:name w:val="Содержимое таблицы"/>
    <w:basedOn w:val="Normal"/>
    <w:uiPriority w:val="99"/>
    <w:rsid w:val="009C22B9"/>
    <w:pPr>
      <w:widowControl w:val="0"/>
      <w:suppressLineNumbers/>
    </w:pPr>
  </w:style>
  <w:style w:type="paragraph" w:customStyle="1" w:styleId="a1">
    <w:name w:val="Заголовок таблицы"/>
    <w:basedOn w:val="a0"/>
    <w:uiPriority w:val="99"/>
    <w:rsid w:val="009C22B9"/>
    <w:pPr>
      <w:jc w:val="center"/>
    </w:pPr>
  </w:style>
  <w:style w:type="paragraph" w:customStyle="1" w:styleId="a2">
    <w:name w:val="Без интервала"/>
    <w:uiPriority w:val="99"/>
    <w:rsid w:val="00CF548D"/>
    <w:pPr>
      <w:widowControl w:val="0"/>
      <w:suppressAutoHyphens/>
    </w:pPr>
    <w:rPr>
      <w:rFonts w:ascii="Courier New" w:eastAsia="Times New Roman" w:hAnsi="Courier New" w:cs="Courier New"/>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7574A3A516716382A9E02AF6503DA26117B48F93D2386DEC7BE138954348996CA8D3609BD694B5289348ECBC7BA23ACD1DBD4580B203C03kCx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20</Pages>
  <Words>3004</Words>
  <Characters>17128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qwerty</cp:lastModifiedBy>
  <cp:revision>18</cp:revision>
  <cp:lastPrinted>2024-11-13T06:26:00Z</cp:lastPrinted>
  <dcterms:created xsi:type="dcterms:W3CDTF">2022-10-14T12:36:00Z</dcterms:created>
  <dcterms:modified xsi:type="dcterms:W3CDTF">2024-11-13T06:28:00Z</dcterms:modified>
</cp:coreProperties>
</file>