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rPr>
          <w:sz w:val="28"/>
          <w:szCs w:val="28"/>
        </w:rPr>
      </w:pPr>
      <w:r>
        <w:rPr>
          <w:lang w:val="ru-RU"/>
        </w:rPr>
        <w:t xml:space="preserve"> </w:t>
      </w:r>
      <w:r>
        <w:t xml:space="preserve">Р А С П О Р Я Ж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numPr>
          <w:ilvl w:val="0"/>
          <w:numId w:val="1"/>
        </w:numPr>
        <w:ind w:left="0" w:firstLine="0"/>
        <w:jc w:val="center"/>
        <w:rPr>
          <w:sz w:val="24"/>
        </w:rPr>
      </w:pPr>
      <w:r>
        <w:rPr>
          <w:b w:val="0"/>
        </w:rPr>
        <w:t xml:space="preserve">ГЛАВЫ ПЕТРОВСКОГО МУНИЦИПАЛЬНОГО ОКРУГА</w:t>
      </w:r>
      <w:r>
        <w:rPr>
          <w:sz w:val="24"/>
        </w:rPr>
      </w:r>
      <w:r>
        <w:rPr>
          <w:sz w:val="24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9"/>
              <w:ind w:left="-108" w:right="0"/>
              <w:jc w:val="both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12 декабря 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9"/>
              <w:jc w:val="right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45-р</w:t>
            </w:r>
            <w:r/>
          </w:p>
        </w:tc>
      </w:tr>
    </w:tbl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постановления администрации Петровского муниципального округа Ставропольского края         «О предоставлении разрешения на отклонение от предельных параметров раз</w:t>
      </w:r>
      <w:r>
        <w:rPr>
          <w:sz w:val="28"/>
          <w:szCs w:val="28"/>
        </w:rPr>
        <w:t xml:space="preserve">решенного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5.1, 40 Градостроительного кодекса Российской </w:t>
      </w:r>
      <w:r>
        <w:rPr>
          <w:sz w:val="28"/>
          <w:szCs w:val="28"/>
        </w:rPr>
        <w:t xml:space="preserve">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</w:t>
      </w:r>
      <w:r>
        <w:rPr>
          <w:sz w:val="28"/>
          <w:szCs w:val="28"/>
        </w:rPr>
        <w:t xml:space="preserve">овского городского округа Ставропольского края от 15 июня 2018 г.     № 80 (с изменениями), проектом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</w:t>
      </w:r>
      <w:r>
        <w:rPr>
          <w:sz w:val="28"/>
          <w:szCs w:val="28"/>
        </w:rPr>
        <w:t xml:space="preserve">ешенного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проект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</w:t>
      </w:r>
      <w:r>
        <w:rPr>
          <w:sz w:val="28"/>
          <w:szCs w:val="28"/>
        </w:rPr>
        <w:t xml:space="preserve">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28» (далее – проект постановления).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организации и проведению публичных слушаний по проекту постановления в составе согласно приложению 1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проведение публичных слушаний по проекту постановления на 14 января 2025 года на 15 часов 00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 проведения публичных слушаний: первый этаж зал № 1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оповещение о проведении публичных слушаний  согласно приложению 2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оповещение о проведении публичных слушаний: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информационном стенде, оборудованном в здании администрации Петровского муниципального округа Ставропольского края на первом этаже,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планирования территорий и землеустройства администрации Петровского муниципального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Провести экспозицию проекта постановления и информационных материалов к нему;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Обеспечить участие в публичных слушаниях по проекту постановления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(далее – заключение) в срок                           до 16 января 2025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Принят</w:t>
      </w:r>
      <w:r>
        <w:rPr>
          <w:sz w:val="28"/>
          <w:szCs w:val="28"/>
        </w:rPr>
        <w:t xml:space="preserve">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Определить следующих участников публичных слушаний по проекту постановления: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пределах территориальной зоны, в границах которой расположен земельный участок и объект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границах земельных участков, прилегающих к земельному участку и правообладатели таких земельных участков или расположенных на них объектов капитального строительства.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Предложения и замечания участников публичных слушаний по проекту постановления направлять в администрацию Петровского муниципа</w:t>
      </w:r>
      <w:r>
        <w:rPr>
          <w:sz w:val="28"/>
          <w:szCs w:val="28"/>
        </w:rPr>
        <w:t xml:space="preserve">льного округа Ставропольского края, кабинеты №№ 317-318 на третьем этаже здания администрации Петровского муниципального округа Ставропольского края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Опубликовать настояще</w:t>
      </w:r>
      <w:r>
        <w:rPr>
          <w:sz w:val="28"/>
          <w:szCs w:val="28"/>
        </w:rPr>
        <w:t xml:space="preserve">е распоряжение вместе с проектом постановления  в газете «Вестник Петровского муниципального округа»,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11.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распоряжения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12. Настоящее распоряжение вступает в силу со дня его подписания.</w:t>
      </w: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Глава Петровского 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муниципального округа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spacing w:line="240" w:lineRule="exact"/>
        <w:rPr>
          <w:rFonts w:eastAsia="Tahoma" w:cs="Droid Sans Devanagari"/>
          <w:sz w:val="24"/>
          <w:szCs w:val="24"/>
        </w:rPr>
      </w:pPr>
      <w:r>
        <w:rPr>
          <w:color w:val="000000"/>
          <w:sz w:val="28"/>
          <w:szCs w:val="24"/>
        </w:rPr>
        <w:t xml:space="preserve">Ставропольского края </w:t>
        <w:tab/>
        <w:tab/>
        <w:tab/>
        <w:tab/>
        <w:tab/>
        <w:tab/>
        <w:tab/>
        <w:tab/>
        <w:t xml:space="preserve">Н.В.Конкина</w:t>
      </w: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ind w:right="1276"/>
        <w:jc w:val="both"/>
        <w:spacing w:before="6" w:after="0"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jc w:val="both"/>
        <w:spacing w:line="240" w:lineRule="exact"/>
        <w:rPr>
          <w:color w:val="ffffff"/>
          <w:sz w:val="28"/>
        </w:rPr>
      </w:pPr>
      <w:r>
        <w:rPr>
          <w:color w:val="ffffff"/>
          <w:sz w:val="28"/>
        </w:rPr>
        <w:t xml:space="preserve">Проект распоряжения вносит исполняющий обязанности заместителя главы администрации Петровского муниципального округа Ставропольского края                                     </w:t>
      </w:r>
      <w:r>
        <w:rPr>
          <w:color w:val="ffffff"/>
          <w:sz w:val="28"/>
        </w:rPr>
      </w:r>
      <w:r>
        <w:rPr>
          <w:color w:val="ffffff"/>
          <w:sz w:val="28"/>
        </w:rPr>
      </w:r>
    </w:p>
    <w:p>
      <w:pPr>
        <w:pStyle w:val="619"/>
        <w:jc w:val="both"/>
        <w:spacing w:line="240" w:lineRule="exact"/>
        <w:rPr>
          <w:color w:val="ffffff"/>
          <w:sz w:val="28"/>
          <w:szCs w:val="24"/>
        </w:rPr>
      </w:pPr>
      <w:r>
        <w:rPr>
          <w:color w:val="ffffff"/>
          <w:sz w:val="28"/>
        </w:rPr>
        <w:t xml:space="preserve">                                                                                                              </w:t>
      </w:r>
      <w:r>
        <w:rPr>
          <w:color w:val="ffffff"/>
          <w:sz w:val="28"/>
        </w:rPr>
        <w:t xml:space="preserve">Г.А.Тесленко</w:t>
      </w:r>
      <w:r>
        <w:rPr>
          <w:color w:val="ffffff"/>
          <w:sz w:val="28"/>
          <w:szCs w:val="24"/>
        </w:rPr>
      </w:r>
      <w:r>
        <w:rPr>
          <w:color w:val="ffffff"/>
          <w:sz w:val="28"/>
          <w:szCs w:val="24"/>
        </w:rPr>
      </w:r>
    </w:p>
    <w:p>
      <w:pPr>
        <w:pStyle w:val="619"/>
        <w:ind w:right="1276"/>
        <w:spacing w:line="240" w:lineRule="exact"/>
        <w:rPr>
          <w:color w:val="ffffff"/>
          <w:sz w:val="28"/>
          <w:szCs w:val="24"/>
        </w:rPr>
      </w:pPr>
      <w:r>
        <w:rPr>
          <w:color w:val="ffffff"/>
          <w:sz w:val="28"/>
          <w:szCs w:val="24"/>
        </w:rPr>
      </w:r>
      <w:r>
        <w:rPr>
          <w:color w:val="ffffff"/>
          <w:sz w:val="28"/>
          <w:szCs w:val="24"/>
        </w:rPr>
      </w:r>
    </w:p>
    <w:p>
      <w:pPr>
        <w:pStyle w:val="619"/>
        <w:ind w:right="1276"/>
        <w:spacing w:line="240" w:lineRule="exact"/>
        <w:rPr>
          <w:color w:val="ffffff"/>
          <w:sz w:val="28"/>
          <w:szCs w:val="24"/>
        </w:rPr>
      </w:pPr>
      <w:r>
        <w:rPr>
          <w:color w:val="ffffff"/>
          <w:sz w:val="28"/>
          <w:szCs w:val="24"/>
        </w:rPr>
      </w:r>
      <w:r>
        <w:rPr>
          <w:color w:val="ffffff"/>
          <w:sz w:val="28"/>
          <w:szCs w:val="24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Визируют: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Петровского муниципального округа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Ставропольского края </w:t>
        <w:tab/>
        <w:tab/>
        <w:t xml:space="preserve">                                                          О.А.Нехаенко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Заместитель начальника отдела по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организационно - кадровым вопросам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и профилактике коррупционных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правонарушений администрации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Петровского муниципального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  Н.В.Федорян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right="-2"/>
        <w:jc w:val="both"/>
        <w:spacing w:before="5" w:after="0" w:line="240" w:lineRule="exact"/>
        <w:shd w:val="clear" w:color="auto" w:fill="ffffff"/>
        <w:tabs>
          <w:tab w:val="left" w:pos="9354" w:leader="none"/>
        </w:tabs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Заместитель главы администрации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right="-2"/>
        <w:jc w:val="both"/>
        <w:spacing w:before="5" w:after="0" w:line="240" w:lineRule="exact"/>
        <w:shd w:val="clear" w:color="auto" w:fill="ffffff"/>
        <w:tabs>
          <w:tab w:val="left" w:pos="9354" w:leader="none"/>
        </w:tabs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Петровского муниципального округа 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right="-2"/>
        <w:jc w:val="both"/>
        <w:spacing w:before="5" w:after="0" w:line="240" w:lineRule="exact"/>
        <w:shd w:val="clear" w:color="auto" w:fill="ffffff"/>
        <w:tabs>
          <w:tab w:val="left" w:pos="9354" w:leader="none"/>
        </w:tabs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right="-2"/>
        <w:jc w:val="both"/>
        <w:spacing w:before="5" w:after="0" w:line="240" w:lineRule="exact"/>
        <w:shd w:val="clear" w:color="auto" w:fill="ffffff"/>
        <w:tabs>
          <w:tab w:val="left" w:pos="9354" w:leader="none"/>
        </w:tabs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  <w:r>
        <w:rPr>
          <w:rFonts w:eastAsia="Tahoma"/>
          <w:color w:val="ffffff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spacing w:val="-15"/>
          <w:sz w:val="28"/>
          <w:szCs w:val="28"/>
          <w:lang w:eastAsia="en-US"/>
        </w:rPr>
      </w:pPr>
      <w:r>
        <w:rPr>
          <w:rFonts w:eastAsia="Tahoma"/>
          <w:sz w:val="28"/>
          <w:szCs w:val="28"/>
        </w:rPr>
        <w:t xml:space="preserve">Проект </w:t>
      </w:r>
      <w:r>
        <w:rPr>
          <w:rFonts w:eastAsia="Calibri"/>
          <w:sz w:val="28"/>
          <w:szCs w:val="28"/>
          <w:lang w:eastAsia="en-US"/>
        </w:rPr>
        <w:t xml:space="preserve">распоряжения</w:t>
      </w:r>
      <w:r>
        <w:rPr>
          <w:rFonts w:eastAsia="Tahoma"/>
          <w:sz w:val="28"/>
          <w:szCs w:val="28"/>
        </w:rPr>
        <w:t xml:space="preserve"> подготовлен отделом планирования территорий и землеустройства администрации Петровского муниципального округа Ставропольского края </w:t>
      </w:r>
      <w:r>
        <w:rPr>
          <w:spacing w:val="-15"/>
          <w:sz w:val="28"/>
          <w:szCs w:val="28"/>
          <w:lang w:eastAsia="en-US"/>
        </w:rPr>
      </w:r>
      <w:r>
        <w:rPr>
          <w:spacing w:val="-15"/>
          <w:sz w:val="28"/>
          <w:szCs w:val="28"/>
          <w:lang w:eastAsia="en-US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spacing w:val="-15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pacing w:val="-15"/>
          <w:sz w:val="28"/>
          <w:szCs w:val="28"/>
          <w:lang w:eastAsia="en-US"/>
        </w:rPr>
        <w:tab/>
        <w:tab/>
        <w:tab/>
        <w:t xml:space="preserve">                </w:t>
      </w:r>
      <w:r>
        <w:rPr>
          <w:rFonts w:eastAsia="Tahoma"/>
          <w:spacing w:val="-15"/>
          <w:sz w:val="28"/>
          <w:szCs w:val="28"/>
          <w:lang w:eastAsia="en-US"/>
        </w:rPr>
        <w:t xml:space="preserve">Г.П.</w:t>
      </w:r>
      <w:r>
        <w:rPr>
          <w:rFonts w:eastAsia="Calibri"/>
          <w:spacing w:val="-15"/>
          <w:sz w:val="28"/>
          <w:szCs w:val="28"/>
          <w:lang w:eastAsia="en-US"/>
        </w:rPr>
        <w:t xml:space="preserve">Русанов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1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12 декабря 2024 г. № 45-р</w:t>
            </w:r>
            <w:r/>
          </w:p>
        </w:tc>
      </w:tr>
    </w:tbl>
    <w:p>
      <w:pPr>
        <w:pStyle w:val="619"/>
        <w:ind w:right="1274"/>
        <w:spacing w:line="240" w:lineRule="exact"/>
      </w:pPr>
      <w:r/>
      <w:r/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</w:t>
      </w:r>
      <w:r>
        <w:rPr>
          <w:sz w:val="28"/>
          <w:szCs w:val="28"/>
        </w:rPr>
        <w:t xml:space="preserve">ешенного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9"/>
        <w:gridCol w:w="19"/>
        <w:gridCol w:w="58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Тесленко Геннадий Александрович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заместителя главы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администрации Петровского муниципального округа Ставропольского края, председатель комиссии</w:t>
            </w:r>
            <w:r/>
          </w:p>
          <w:p>
            <w:pPr>
              <w:pStyle w:val="619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Петровна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муниципального округа Ставропольского края, заместитель председателя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края, секретарь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  <w:jc w:val="both"/>
            </w:pPr>
            <w:r>
              <w:rPr>
                <w:sz w:val="28"/>
                <w:szCs w:val="28"/>
              </w:rPr>
              <w:t xml:space="preserve">Павловна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Мишура Николай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4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Петровского муниципального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58"/>
        <w:ind w:right="0"/>
        <w:jc w:val="both"/>
        <w:widowControl/>
      </w:pPr>
      <w:r/>
      <w:r/>
    </w:p>
    <w:p>
      <w:pPr>
        <w:pStyle w:val="658"/>
        <w:ind w:right="0"/>
        <w:jc w:val="both"/>
        <w:widowControl/>
      </w:pPr>
      <w:r/>
      <w:r/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муниципального округа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12 декабря 2024 г. № 45-р</w:t>
            </w:r>
            <w:r/>
          </w:p>
        </w:tc>
      </w:tr>
    </w:tbl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проведение публичных слушаний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выносится проект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</w:t>
      </w:r>
      <w:r>
        <w:rPr>
          <w:color w:val="000000"/>
          <w:sz w:val="28"/>
          <w:szCs w:val="28"/>
        </w:rPr>
        <w:t xml:space="preserve">решенного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публичных слушаний представлены на экспозиции Ставропольский край, Петровский муниципальный округ, г. Светлоград, пл. 50 лет Октября, зд. 8, каб. 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реконструкции объекта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20 декабря 2024 года по 14 января 2025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экспозиции: в рабочие дни с 09-00 часов до 12-00.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</w:t>
      </w:r>
      <w:r>
        <w:rPr>
          <w:sz w:val="28"/>
          <w:szCs w:val="28"/>
        </w:rPr>
        <w:t xml:space="preserve">тся в 15-00 часов,   14 января 2025 года на первом этаже зал № 1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        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регистрации участников 14-30 часов                                         14 января 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8 (865 47) 4-05-42 доб. 7726.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организатора публичных слушаний: 356530 Ставропольский край, Петровский муниципальный округ, г. Светлоград,                                 пл. 50 лет Октября, зд. 8, каб. 317-318.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организатора публичных слушаний: adm@petrgosk.ru.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</w:t>
      </w:r>
      <w:r>
        <w:rPr>
          <w:color w:val="000000"/>
          <w:sz w:val="28"/>
          <w:szCs w:val="28"/>
        </w:rPr>
        <w:t xml:space="preserve">решенного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</w:t>
      </w:r>
      <w:r>
        <w:rPr>
          <w:sz w:val="28"/>
          <w:szCs w:val="28"/>
        </w:rPr>
        <w:t xml:space="preserve">» размещены на сайте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633"/>
          <w:color w:val="000000"/>
          <w:sz w:val="28"/>
          <w:szCs w:val="28"/>
          <w:u w:val="none"/>
        </w:rPr>
        <w:t xml:space="preserve">https://petrgosk.gosuslugi.ru</w:t>
      </w:r>
      <w:r>
        <w:fldChar w:fldCharType="end"/>
      </w:r>
      <w:r>
        <w:rPr>
          <w:rStyle w:val="633"/>
          <w:color w:val="000000"/>
          <w:sz w:val="28"/>
          <w:szCs w:val="28"/>
          <w:u w:val="none"/>
        </w:rPr>
        <w:t xml:space="preserve">/</w:t>
      </w:r>
      <w:r>
        <w:rPr>
          <w:sz w:val="28"/>
          <w:szCs w:val="28"/>
        </w:rPr>
        <w:t xml:space="preserve"> в разделе архитектура и градостроительство.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/>
        <w:jc w:val="right"/>
        <w:widowControl/>
        <w:tabs>
          <w:tab w:val="left" w:pos="7901" w:leader="none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 xml:space="preserve">ПРОЕКТ</w: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666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66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66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9"/>
              <w:ind w:left="-108" w:right="0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9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9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</w:t>
      </w:r>
      <w:r>
        <w:rPr>
          <w:color w:val="000000"/>
          <w:sz w:val="28"/>
          <w:szCs w:val="28"/>
        </w:rPr>
        <w:t xml:space="preserve">решенного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Рассмотрев заявление Денщик Андрея Викторовича от 27.11.2024 вх. № 10-2640,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реконструкции объекта капит</w:t>
      </w:r>
      <w:r>
        <w:rPr>
          <w:sz w:val="28"/>
          <w:szCs w:val="28"/>
        </w:rPr>
        <w:t xml:space="preserve">ального строительства, выписки из Единого государственного реестра недвижимости об объекте недвижимости от 28.11.2024 №№ КУВИ-001/2024-288621120, КУВИ-001/2024-288621120, распоряжение администрации Петровского муниципального округа Ставропольского края от </w:t>
      </w:r>
      <w:r>
        <w:rPr>
          <w:sz w:val="28"/>
          <w:szCs w:val="28"/>
        </w:rPr>
        <w:t xml:space="preserve">12 декабря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45-р</w:t>
      </w:r>
      <w:r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</w:t>
      </w:r>
      <w:r>
        <w:rPr>
          <w:sz w:val="28"/>
          <w:szCs w:val="28"/>
        </w:rPr>
        <w:t xml:space="preserve">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28», опубл</w:t>
      </w:r>
      <w:r>
        <w:rPr>
          <w:sz w:val="28"/>
          <w:szCs w:val="28"/>
        </w:rPr>
        <w:t xml:space="preserve">икование в газете «Вестник Петровского муниципального округа» от __ ________ 2024 г. № ______, протокол публичных слушаний от ___ ________ 2025 г., заключение о результатах публичных слушаний от ___ ___________ 2025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3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ОД)</w:t>
      </w:r>
      <w:r>
        <w:rPr>
          <w:sz w:val="28"/>
          <w:szCs w:val="28"/>
        </w:rPr>
        <w:t xml:space="preserve">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Денщик Андрею Викторовичу</w:t>
      </w:r>
      <w:r>
        <w:rPr>
          <w:color w:val="000000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для земельного участка из земель населенных пункт</w:t>
      </w:r>
      <w:r>
        <w:rPr>
          <w:color w:val="000000"/>
          <w:sz w:val="28"/>
          <w:szCs w:val="28"/>
        </w:rPr>
        <w:t xml:space="preserve">ов площадью 575 кв.м, с кадастровым номером 26:08:040513:470, по адресу: Российская Федерация, Ставропольский край, Петровский городской округ, г. Светлоград, ул. Николаенко, з/у 28, с видом разрешенного использования: магазины (далее – земельный участок):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строительстве объекта недвижимост</w:t>
      </w:r>
      <w:r>
        <w:rPr>
          <w:color w:val="000000"/>
          <w:sz w:val="28"/>
          <w:szCs w:val="28"/>
        </w:rPr>
        <w:t xml:space="preserve">и здания магазина от границы с земельным участком из земель населенных пунктов площадью 502 кв.м, с кадастровым номером 26:08:040513:81, местоположение: Ставропольский край, Петровский район, г. Светлоград, ул. Николаенко, № 26, с 1,00 метра до 0,00 метров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Настоящее постановление вступает в силу со дня его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8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8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8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418" w:right="567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61"/>
    <w:uiPriority w:val="99"/>
  </w:style>
  <w:style w:type="character" w:styleId="45">
    <w:name w:val="Footer Char"/>
    <w:basedOn w:val="11"/>
    <w:link w:val="662"/>
    <w:uiPriority w:val="99"/>
  </w:style>
  <w:style w:type="character" w:styleId="47">
    <w:name w:val="Caption Char"/>
    <w:basedOn w:val="642"/>
    <w:link w:val="662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link w:val="619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0">
    <w:name w:val="Heading 1"/>
    <w:basedOn w:val="619"/>
    <w:next w:val="619"/>
    <w:link w:val="619"/>
    <w:pPr>
      <w:numPr>
        <w:ilvl w:val="0"/>
        <w:numId w:val="1"/>
      </w:numPr>
      <w:keepNext/>
      <w:outlineLvl w:val="0"/>
    </w:pPr>
    <w:rPr>
      <w:b/>
      <w:sz w:val="24"/>
    </w:rPr>
  </w:style>
  <w:style w:type="paragraph" w:styleId="621">
    <w:name w:val="Heading 2"/>
    <w:basedOn w:val="619"/>
    <w:next w:val="619"/>
    <w:link w:val="6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2">
    <w:name w:val="Heading 5"/>
    <w:basedOn w:val="619"/>
    <w:next w:val="640"/>
    <w:link w:val="619"/>
    <w:pPr>
      <w:numPr>
        <w:ilvl w:val="0"/>
        <w:numId w:val="0"/>
      </w:numPr>
      <w:ind w:left="0" w:right="0" w:firstLine="0"/>
      <w:keepNext/>
      <w:widowControl w:val="off"/>
      <w:outlineLvl w:val="4"/>
    </w:pPr>
    <w:rPr>
      <w:rFonts w:eastAsia="Calibri"/>
      <w:sz w:val="28"/>
      <w:szCs w:val="20"/>
    </w:rPr>
  </w:style>
  <w:style w:type="character" w:styleId="623">
    <w:name w:val="Основной шрифт абзаца"/>
    <w:next w:val="623"/>
    <w:link w:val="619"/>
  </w:style>
  <w:style w:type="character" w:styleId="624">
    <w:name w:val="Основной шрифт абзаца4"/>
    <w:next w:val="624"/>
    <w:link w:val="619"/>
  </w:style>
  <w:style w:type="character" w:styleId="625">
    <w:name w:val="Основной шрифт абзаца3"/>
    <w:next w:val="625"/>
    <w:link w:val="619"/>
  </w:style>
  <w:style w:type="character" w:styleId="626">
    <w:name w:val="Основной шрифт абзаца2"/>
    <w:next w:val="626"/>
    <w:link w:val="619"/>
  </w:style>
  <w:style w:type="character" w:styleId="627">
    <w:name w:val="Основной шрифт абзаца1"/>
    <w:next w:val="627"/>
    <w:link w:val="619"/>
  </w:style>
  <w:style w:type="character" w:styleId="628">
    <w:name w:val="Основной текст Знак"/>
    <w:next w:val="628"/>
    <w:link w:val="619"/>
    <w:rPr>
      <w:sz w:val="28"/>
      <w:lang w:val="ru-RU" w:bidi="ar-SA"/>
    </w:rPr>
  </w:style>
  <w:style w:type="character" w:styleId="629">
    <w:name w:val="Текст выноски Знак"/>
    <w:next w:val="629"/>
    <w:link w:val="619"/>
    <w:rPr>
      <w:rFonts w:ascii="Tahoma" w:hAnsi="Tahoma" w:cs="Tahoma"/>
      <w:sz w:val="16"/>
      <w:szCs w:val="16"/>
    </w:rPr>
  </w:style>
  <w:style w:type="character" w:styleId="630">
    <w:name w:val="Верхний колонтитул Знак"/>
    <w:basedOn w:val="627"/>
    <w:next w:val="630"/>
    <w:link w:val="619"/>
  </w:style>
  <w:style w:type="character" w:styleId="631">
    <w:name w:val="Нижний колонтитул Знак"/>
    <w:basedOn w:val="627"/>
    <w:next w:val="631"/>
    <w:link w:val="619"/>
  </w:style>
  <w:style w:type="character" w:styleId="632">
    <w:name w:val="Название Знак"/>
    <w:next w:val="632"/>
    <w:link w:val="619"/>
    <w:rPr>
      <w:b/>
      <w:sz w:val="32"/>
    </w:rPr>
  </w:style>
  <w:style w:type="character" w:styleId="633">
    <w:name w:val="Hyperlink"/>
    <w:next w:val="633"/>
    <w:link w:val="619"/>
    <w:rPr>
      <w:color w:val="0000ff"/>
      <w:u w:val="single"/>
    </w:rPr>
  </w:style>
  <w:style w:type="character" w:styleId="634">
    <w:name w:val="Заголовок 2 Знак"/>
    <w:next w:val="634"/>
    <w:link w:val="61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5">
    <w:name w:val="blk"/>
    <w:basedOn w:val="627"/>
    <w:next w:val="635"/>
    <w:link w:val="619"/>
  </w:style>
  <w:style w:type="character" w:styleId="636">
    <w:name w:val="Заголовок 1 Знак"/>
    <w:next w:val="636"/>
    <w:link w:val="619"/>
    <w:rPr>
      <w:sz w:val="28"/>
      <w:szCs w:val="24"/>
    </w:rPr>
  </w:style>
  <w:style w:type="character" w:styleId="637">
    <w:name w:val="WW8Num2z0"/>
    <w:next w:val="637"/>
    <w:link w:val="619"/>
  </w:style>
  <w:style w:type="character" w:styleId="638">
    <w:name w:val="WW8Num1z0"/>
    <w:next w:val="638"/>
    <w:link w:val="619"/>
    <w:rPr>
      <w:sz w:val="24"/>
    </w:rPr>
  </w:style>
  <w:style w:type="paragraph" w:styleId="639">
    <w:name w:val="Заголовок"/>
    <w:basedOn w:val="619"/>
    <w:next w:val="640"/>
    <w:link w:val="619"/>
    <w:pPr>
      <w:jc w:val="center"/>
    </w:pPr>
    <w:rPr>
      <w:b/>
      <w:sz w:val="32"/>
      <w:lang w:val="en-US"/>
    </w:rPr>
  </w:style>
  <w:style w:type="paragraph" w:styleId="640">
    <w:name w:val="Body Text"/>
    <w:basedOn w:val="619"/>
    <w:next w:val="640"/>
    <w:link w:val="619"/>
    <w:rPr>
      <w:sz w:val="28"/>
    </w:rPr>
  </w:style>
  <w:style w:type="paragraph" w:styleId="641">
    <w:name w:val="List"/>
    <w:basedOn w:val="640"/>
    <w:next w:val="641"/>
    <w:link w:val="619"/>
    <w:rPr>
      <w:rFonts w:cs="Droid Sans Devanagari"/>
    </w:rPr>
  </w:style>
  <w:style w:type="paragraph" w:styleId="642">
    <w:name w:val="Caption"/>
    <w:basedOn w:val="619"/>
    <w:next w:val="64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3">
    <w:name w:val="Указатель"/>
    <w:basedOn w:val="619"/>
    <w:next w:val="643"/>
    <w:link w:val="619"/>
    <w:pPr>
      <w:suppressLineNumbers/>
    </w:pPr>
    <w:rPr>
      <w:rFonts w:cs="Droid Sans Devanagari"/>
    </w:rPr>
  </w:style>
  <w:style w:type="paragraph" w:styleId="644">
    <w:name w:val="Название объекта"/>
    <w:basedOn w:val="619"/>
    <w:next w:val="644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5">
    <w:name w:val="Указатель4"/>
    <w:basedOn w:val="619"/>
    <w:next w:val="645"/>
    <w:link w:val="619"/>
    <w:pPr>
      <w:suppressLineNumbers/>
    </w:pPr>
    <w:rPr>
      <w:rFonts w:cs="Droid Sans Devanagari"/>
    </w:rPr>
  </w:style>
  <w:style w:type="paragraph" w:styleId="646">
    <w:name w:val="Caption1"/>
    <w:basedOn w:val="619"/>
    <w:next w:val="646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Caption11"/>
    <w:basedOn w:val="619"/>
    <w:next w:val="647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8">
    <w:name w:val="Caption111"/>
    <w:basedOn w:val="619"/>
    <w:next w:val="648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9">
    <w:name w:val="Название объекта3"/>
    <w:basedOn w:val="619"/>
    <w:next w:val="649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0">
    <w:name w:val="Указатель3"/>
    <w:basedOn w:val="619"/>
    <w:next w:val="650"/>
    <w:link w:val="619"/>
    <w:pPr>
      <w:suppressLineNumbers/>
    </w:pPr>
    <w:rPr>
      <w:rFonts w:cs="Droid Sans Devanagari"/>
    </w:rPr>
  </w:style>
  <w:style w:type="paragraph" w:styleId="651">
    <w:name w:val="Caption1111"/>
    <w:basedOn w:val="619"/>
    <w:next w:val="65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2">
    <w:name w:val="Caption11111"/>
    <w:basedOn w:val="619"/>
    <w:next w:val="65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3">
    <w:name w:val="Caption111111"/>
    <w:basedOn w:val="619"/>
    <w:next w:val="653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4">
    <w:name w:val="Название объекта2"/>
    <w:basedOn w:val="619"/>
    <w:next w:val="654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5">
    <w:name w:val="Указатель2"/>
    <w:basedOn w:val="619"/>
    <w:next w:val="655"/>
    <w:link w:val="619"/>
    <w:pPr>
      <w:suppressLineNumbers/>
    </w:pPr>
    <w:rPr>
      <w:rFonts w:cs="Droid Sans Devanagari"/>
    </w:rPr>
  </w:style>
  <w:style w:type="paragraph" w:styleId="656">
    <w:name w:val="Название объекта1"/>
    <w:basedOn w:val="619"/>
    <w:next w:val="656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7">
    <w:name w:val="Указатель1"/>
    <w:basedOn w:val="619"/>
    <w:next w:val="657"/>
    <w:link w:val="619"/>
    <w:pPr>
      <w:suppressLineNumbers/>
    </w:pPr>
    <w:rPr>
      <w:rFonts w:cs="Droid Sans Devanagari"/>
    </w:rPr>
  </w:style>
  <w:style w:type="paragraph" w:styleId="658">
    <w:name w:val="ConsNonformat"/>
    <w:next w:val="658"/>
    <w:link w:val="619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59">
    <w:name w:val="Текст выноски"/>
    <w:basedOn w:val="619"/>
    <w:next w:val="659"/>
    <w:link w:val="619"/>
    <w:rPr>
      <w:rFonts w:ascii="Tahoma" w:hAnsi="Tahoma" w:cs="Tahoma"/>
      <w:sz w:val="16"/>
      <w:szCs w:val="16"/>
      <w:lang w:val="en-US"/>
    </w:rPr>
  </w:style>
  <w:style w:type="paragraph" w:styleId="660">
    <w:name w:val="Колонтитул"/>
    <w:basedOn w:val="619"/>
    <w:next w:val="660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61">
    <w:name w:val="Header"/>
    <w:basedOn w:val="619"/>
    <w:next w:val="661"/>
    <w:link w:val="619"/>
    <w:pPr>
      <w:tabs>
        <w:tab w:val="center" w:pos="4677" w:leader="none"/>
        <w:tab w:val="right" w:pos="9355" w:leader="none"/>
      </w:tabs>
    </w:pPr>
  </w:style>
  <w:style w:type="paragraph" w:styleId="662">
    <w:name w:val="Footer"/>
    <w:basedOn w:val="619"/>
    <w:next w:val="662"/>
    <w:link w:val="619"/>
    <w:pPr>
      <w:tabs>
        <w:tab w:val="center" w:pos="4677" w:leader="none"/>
        <w:tab w:val="right" w:pos="9355" w:leader="none"/>
      </w:tabs>
    </w:pPr>
  </w:style>
  <w:style w:type="paragraph" w:styleId="663">
    <w:name w:val="ConsPlusNonformat"/>
    <w:next w:val="663"/>
    <w:link w:val="619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64">
    <w:name w:val="ConsNormal"/>
    <w:next w:val="664"/>
    <w:link w:val="619"/>
    <w:pPr>
      <w:ind w:left="0" w:right="19772" w:firstLine="720"/>
      <w:jc w:val="both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65">
    <w:name w:val="Обычный (веб)"/>
    <w:basedOn w:val="619"/>
    <w:next w:val="665"/>
    <w:link w:val="619"/>
    <w:pPr>
      <w:spacing w:before="280" w:after="280"/>
    </w:pPr>
    <w:rPr>
      <w:sz w:val="24"/>
      <w:szCs w:val="24"/>
    </w:rPr>
  </w:style>
  <w:style w:type="paragraph" w:styleId="666">
    <w:name w:val="ConsTitle"/>
    <w:next w:val="666"/>
    <w:link w:val="619"/>
    <w:pPr>
      <w:ind w:left="0" w:right="19772" w:firstLine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667">
    <w:name w:val="Без интервала"/>
    <w:next w:val="667"/>
    <w:link w:val="61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68">
    <w:name w:val="Т-1"/>
    <w:basedOn w:val="619"/>
    <w:next w:val="668"/>
    <w:link w:val="619"/>
    <w:pPr>
      <w:ind w:left="0" w:right="0" w:firstLine="720"/>
      <w:jc w:val="both"/>
      <w:spacing w:line="360" w:lineRule="auto"/>
    </w:pPr>
    <w:rPr>
      <w:sz w:val="28"/>
    </w:rPr>
  </w:style>
  <w:style w:type="paragraph" w:styleId="669">
    <w:name w:val="Содержимое таблицы"/>
    <w:basedOn w:val="619"/>
    <w:next w:val="669"/>
    <w:link w:val="619"/>
    <w:pPr>
      <w:widowControl w:val="off"/>
      <w:suppressLineNumbers/>
    </w:pPr>
  </w:style>
  <w:style w:type="paragraph" w:styleId="670">
    <w:name w:val="Заголовок таблицы"/>
    <w:basedOn w:val="669"/>
    <w:next w:val="670"/>
    <w:link w:val="619"/>
    <w:pPr>
      <w:jc w:val="center"/>
      <w:suppressLineNumbers/>
    </w:pPr>
    <w:rPr>
      <w:b/>
      <w:bCs/>
    </w:rPr>
  </w:style>
  <w:style w:type="paragraph" w:styleId="671">
    <w:name w:val="Без интервала1"/>
    <w:next w:val="671"/>
    <w:link w:val="61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72">
    <w:name w:val="Схема документа1"/>
    <w:basedOn w:val="619"/>
    <w:next w:val="672"/>
    <w:link w:val="61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944" w:default="1">
    <w:name w:val="Default Paragraph Font"/>
    <w:uiPriority w:val="1"/>
    <w:semiHidden/>
    <w:unhideWhenUsed/>
  </w:style>
  <w:style w:type="numbering" w:styleId="19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2024-12-12T07:50:00Z</dcterms:created>
  <dcterms:modified xsi:type="dcterms:W3CDTF">2024-12-23T10:06:16Z</dcterms:modified>
</cp:coreProperties>
</file>