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8"/>
        <w:rPr>
          <w:b w:val="0"/>
          <w:color w:val="000000"/>
          <w:sz w:val="32"/>
          <w:szCs w:val="28"/>
        </w:rPr>
      </w:pPr>
      <w:r>
        <w:rPr>
          <w:color w:val="000000"/>
          <w:sz w:val="32"/>
          <w:szCs w:val="32"/>
        </w:rPr>
        <w:t xml:space="preserve">Р А С П О Р Я Ж Е Н И Е</w:t>
      </w:r>
      <w:r>
        <w:rPr>
          <w:b w:val="0"/>
          <w:color w:val="000000"/>
          <w:sz w:val="32"/>
          <w:szCs w:val="28"/>
        </w:rPr>
      </w:r>
      <w:r>
        <w:rPr>
          <w:b w:val="0"/>
          <w:color w:val="000000"/>
          <w:sz w:val="32"/>
          <w:szCs w:val="28"/>
        </w:rPr>
      </w:r>
    </w:p>
    <w:p>
      <w:pPr>
        <w:pStyle w:val="628"/>
        <w:rPr>
          <w:b w:val="0"/>
          <w:color w:val="000000"/>
          <w:sz w:val="32"/>
          <w:szCs w:val="28"/>
        </w:rPr>
      </w:pPr>
      <w:r>
        <w:rPr>
          <w:b w:val="0"/>
          <w:color w:val="000000"/>
          <w:sz w:val="32"/>
          <w:szCs w:val="28"/>
        </w:rPr>
      </w:r>
      <w:r>
        <w:rPr>
          <w:b w:val="0"/>
          <w:color w:val="000000"/>
          <w:sz w:val="32"/>
          <w:szCs w:val="28"/>
        </w:rPr>
      </w:r>
    </w:p>
    <w:p>
      <w:pPr>
        <w:pStyle w:val="617"/>
        <w:jc w:val="center"/>
        <w:rPr>
          <w:bCs/>
          <w:lang w:eastAsia="ru-RU"/>
        </w:rPr>
      </w:pPr>
      <w:r>
        <w:rPr>
          <w:bCs/>
          <w:lang w:eastAsia="ru-RU"/>
        </w:rPr>
        <w:t xml:space="preserve">ГЛАВЫ ПЕТРОВСКОГО МУНИЦИПАЛЬНОГО ОКРУГА</w:t>
      </w:r>
      <w:r>
        <w:rPr>
          <w:bCs/>
          <w:lang w:eastAsia="ru-RU"/>
        </w:rPr>
      </w:r>
      <w:r>
        <w:rPr>
          <w:bCs/>
          <w:lang w:eastAsia="ru-RU"/>
        </w:rPr>
      </w:r>
    </w:p>
    <w:p>
      <w:pPr>
        <w:pStyle w:val="617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Cs/>
          <w:lang w:eastAsia="ru-RU"/>
        </w:rPr>
        <w:t xml:space="preserve">СТАВРОПОЛЬСКОГО КРАЯ</w:t>
      </w:r>
      <w:r>
        <w:rPr>
          <w:b/>
          <w:bCs/>
          <w:color w:val="000000"/>
          <w:sz w:val="28"/>
          <w:szCs w:val="28"/>
          <w:lang w:eastAsia="ru-RU"/>
        </w:rPr>
      </w:r>
      <w:r>
        <w:rPr>
          <w:b/>
          <w:bCs/>
          <w:color w:val="000000"/>
          <w:sz w:val="28"/>
          <w:szCs w:val="28"/>
          <w:lang w:eastAsia="ru-RU"/>
        </w:rPr>
      </w:r>
    </w:p>
    <w:p>
      <w:pPr>
        <w:pStyle w:val="617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</w:r>
      <w:r>
        <w:rPr>
          <w:b/>
          <w:bCs/>
          <w:color w:val="000000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8"/>
              <w:ind w:left="-108" w:right="0"/>
              <w:jc w:val="both"/>
            </w:pPr>
            <w:r>
              <w:rPr>
                <w:b w:val="0"/>
                <w:bCs w:val="0"/>
                <w:color w:val="000000"/>
                <w:szCs w:val="28"/>
                <w:lang w:val="ru-RU"/>
              </w:rPr>
              <w:t xml:space="preserve">17 июля 2024 г.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7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г. Светлоград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8"/>
              <w:ind w:right="-108"/>
            </w:pPr>
            <w:r>
              <w:rPr>
                <w:b w:val="0"/>
                <w:bCs w:val="0"/>
                <w:color w:val="000000"/>
                <w:szCs w:val="28"/>
                <w:lang w:val="ru-RU"/>
              </w:rPr>
              <w:t xml:space="preserve">                            </w:t>
            </w:r>
            <w:r>
              <w:rPr>
                <w:b w:val="0"/>
                <w:bCs w:val="0"/>
                <w:color w:val="000000"/>
                <w:szCs w:val="28"/>
                <w:lang w:val="ru-RU"/>
              </w:rPr>
              <w:t xml:space="preserve">№ </w:t>
            </w:r>
            <w:r>
              <w:rPr>
                <w:b w:val="0"/>
                <w:bCs w:val="0"/>
                <w:color w:val="000000"/>
                <w:szCs w:val="28"/>
                <w:lang w:val="ru-RU"/>
              </w:rPr>
              <w:t xml:space="preserve">26-р</w:t>
            </w:r>
            <w:r>
              <w:rPr>
                <w:b w:val="0"/>
                <w:bCs w:val="0"/>
                <w:color w:val="000000"/>
                <w:szCs w:val="28"/>
                <w:lang w:val="ru-RU"/>
              </w:rPr>
              <w:t xml:space="preserve">                                 </w:t>
            </w:r>
            <w:r/>
          </w:p>
        </w:tc>
      </w:tr>
    </w:tbl>
    <w:p>
      <w:pPr>
        <w:pStyle w:val="617"/>
        <w:ind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назначении публичных слушаний по проекту планировки территории и проекту межевания территории линейного объекта «Оросительная система на землях ООО «АПК» Петровского МО, Ставропольского края. 1 Этап»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статьями 5.1, 46 Градостроительного кодекса Российской Федерации, пунктом 2 статьи 7 Федерального закона от 14 марта 2022 г. № 58-ФЗ «О внесении изменений в отдельные законодательны</w:t>
      </w:r>
      <w:r>
        <w:rPr>
          <w:color w:val="000000"/>
          <w:sz w:val="28"/>
          <w:szCs w:val="28"/>
        </w:rPr>
        <w:t xml:space="preserve">е акты Российской Федерации», пунктом 10 части 1 статьи 18 Федерального закона от 8 марта 2022 г. № 46-ФЗ «О внесении изменений в отдельные законодательные акты Российской Федерации», постановлением Правительства Российской Федерации от 02 апреля 2022 г. №</w:t>
      </w:r>
      <w:r>
        <w:rPr>
          <w:color w:val="000000"/>
          <w:sz w:val="28"/>
          <w:szCs w:val="28"/>
        </w:rPr>
        <w:t xml:space="preserve">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</w:t>
      </w:r>
      <w:r>
        <w:rPr>
          <w:color w:val="000000"/>
          <w:sz w:val="28"/>
          <w:szCs w:val="28"/>
        </w:rPr>
        <w:t xml:space="preserve"> ввод в эксплуатацию», Уставом Петровского муниципального округа Ставропольского края,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</w:t>
      </w:r>
      <w:r>
        <w:rPr>
          <w:color w:val="000000"/>
          <w:sz w:val="28"/>
          <w:szCs w:val="28"/>
        </w:rPr>
        <w:t xml:space="preserve">ого округа Ставропольского края, утвержденным решением Совета депутатов Петровского городского округа Ставропольского края от 15 июня 2018 г. № 80 (с изменениями),  проектом постановления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документации по планировке </w:t>
      </w:r>
      <w:r>
        <w:rPr>
          <w:color w:val="000000"/>
          <w:sz w:val="28"/>
          <w:szCs w:val="28"/>
        </w:rPr>
        <w:t xml:space="preserve">территории линейного объекта «Оросительная система на землях ООО «АПК» Петровского МО, Ставропольского края. 1 Этап», учитывая соответствие документации по планировке территории требованиям части 10 статьи 45 Градостроительного кодекса Российской Федерации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Вынести на публичные слуша</w:t>
      </w:r>
      <w:r>
        <w:rPr>
          <w:color w:val="000000"/>
          <w:sz w:val="28"/>
          <w:szCs w:val="28"/>
        </w:rPr>
        <w:t xml:space="preserve">ния проект планировки территории и проект межевания территории линейного объекта «Оросительная система на землях ООО «АПК» Петровского МО, Ставропольского края. 1 Этап» (далее – проект планировки территории и проект межевания территории линейного объекта).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righ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Создать комиссию по организации и про</w:t>
      </w:r>
      <w:r>
        <w:rPr>
          <w:color w:val="000000"/>
          <w:sz w:val="28"/>
          <w:szCs w:val="28"/>
        </w:rPr>
        <w:t xml:space="preserve">ведению публичных слушаний по проекту планировки территории и проекту межевания территории линейного объекта «Оросительная система на землях ООО «АПК» Петровского МО, Ставропольского края. 1 Этап» в составе согласно приложению 1 к настоящему распоряжению.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Назначить проведение публичных слушаний по проекту планировки территории и проекту межевания территории линейного объекта на 05 августа 2024 года на 14 часов 00 минут.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Определить место пр</w:t>
      </w:r>
      <w:r>
        <w:rPr>
          <w:color w:val="000000"/>
          <w:sz w:val="28"/>
          <w:szCs w:val="28"/>
        </w:rPr>
        <w:t xml:space="preserve">оведения публичных слушаний: третий этаж каб. № 318 здания администрации Петровского муниципального округа Ставропольского края, по адресу: Российская Федерация, Ставропольский край, Петровский муниципальный округ, г. Светлоград, пл. 50 лет Октября, зд. 8.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Утвердить оповещение о начале публичных слушаний по проекту планировки территории и проекту межевания территории линейного объекта «Оросительная си</w:t>
      </w:r>
      <w:r>
        <w:rPr>
          <w:color w:val="000000"/>
          <w:sz w:val="28"/>
          <w:szCs w:val="28"/>
        </w:rPr>
        <w:t xml:space="preserve">стема на землях ООО «АПК» Петровского МО, Ставропольского края. 1 Этап» (далее – оповещение о проведении публичных слушаний по проекту планировки территории и проекту межевания территории линейного объекта), согласно приложению 2 к настоящему распоряжению.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Отделу планирования территорий и землеустройства администрации Петровского муниципального округа Ставропольского края: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Принять меры по опубликованию оповещения о проведении публичных слушаний по проекту планировки территории и проекту межевания территории линейного объекта в газете «Вестник Петровского муниципального округа» (далее – опубликование).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Разместить оповещение о проведении публичных слушаний по проекту по проекту планировки территории и проекту межевания территории линейного объекта не позднее семи дней после опубликования: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6.2.1. На инф</w:t>
      </w:r>
      <w:r>
        <w:rPr>
          <w:color w:val="000000"/>
          <w:sz w:val="28"/>
          <w:szCs w:val="28"/>
        </w:rPr>
        <w:t xml:space="preserve">ормационном стенде, оборудованном в здании администрации Петровского муниципального округа Ставропольского края на первом этаже, по адресу: Российская Федерация, Ставропольский край, Петровский муниципальный округ, г. Светлоград, пл. 50 лет Октября, зд. 8.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6.2.2.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Провести экспозицию проекта планировки территории и проекта межевания территории линейного объекта.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О</w:t>
      </w:r>
      <w:r>
        <w:rPr>
          <w:color w:val="000000"/>
          <w:sz w:val="28"/>
          <w:szCs w:val="28"/>
        </w:rPr>
        <w:t xml:space="preserve">беспечить совместно с управлением по делам территории администрации Петровского муниципального округа Ставропольского края участие в публичных слушаниях по проекту планировки территории и проекта межевания территории линейного объекта заинтересованных лиц.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По резуль</w:t>
      </w:r>
      <w:r>
        <w:rPr>
          <w:color w:val="000000"/>
          <w:sz w:val="28"/>
          <w:szCs w:val="28"/>
        </w:rPr>
        <w:t xml:space="preserve">татам проведения публичных слушаний по проекту планировки территории и проекта межевания территории линейного объекта подготовить протокол публичных слушаний и заключение о результатах публичных слушаний (далее – заключение) в срок до 08 августа 2024 года.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 Приня</w:t>
      </w:r>
      <w:r>
        <w:rPr>
          <w:color w:val="000000"/>
          <w:sz w:val="28"/>
          <w:szCs w:val="28"/>
        </w:rPr>
        <w:t xml:space="preserve">ть меры по опубликованию заключения в газете «Вестник Петровского муниципального округа» и размещению заключения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6.7. Направить проект планировки территории и проекта межевания территории линейного объекта, </w:t>
      </w:r>
      <w:r>
        <w:rPr>
          <w:bCs/>
          <w:sz w:val="28"/>
          <w:szCs w:val="28"/>
        </w:rPr>
        <w:t xml:space="preserve">протокол публичных слушаний и заключение о результатах публичных слушаний главе Петровского муниципального округа Ставропольского края в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срок до 19 августа 2023 года</w:t>
      </w:r>
      <w:r>
        <w:rPr>
          <w:color w:val="000000"/>
          <w:sz w:val="28"/>
          <w:szCs w:val="28"/>
        </w:rPr>
        <w:t xml:space="preserve"> для принятия одного из следующих решений: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 утверждении проекта планировки территории и проекта межевания территории линейного объекта;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 отклонении проекта планировки территории и проекта межевания территории линейного объекта и о направлении его на доработку с указанием даты его повторного представления.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Определить следующих участников публичных слушаний по проекту планировки территории и проекту межевания территории линейного объекта: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граждане, постоянно проживающие на территории Петровского муниципального округа Ставропольского края;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правообладатели находя</w:t>
      </w:r>
      <w:r>
        <w:rPr>
          <w:color w:val="000000"/>
          <w:sz w:val="28"/>
          <w:szCs w:val="28"/>
        </w:rPr>
        <w:t xml:space="preserve">щихся в границах Петровского муниципального округа Ставропольского края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Предложения и замечания участников публичных слушаний по проекту планировки территории и проекту межевания территории линейного объекта направлять в администрацию Петровского муниципального округа Ставро</w:t>
      </w:r>
      <w:r>
        <w:rPr>
          <w:color w:val="000000"/>
          <w:sz w:val="28"/>
          <w:szCs w:val="28"/>
        </w:rPr>
        <w:t xml:space="preserve">польского края, кабинеты №№ 317-318 на третьем этаже здания администрации Петровского муниципального округа Ставропольского края по адресу: Российская Федерация, Ставропольский край, Петровский муниципальный округ, г. Светлоград, пл. 50 лет Октября, зд. 8.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Опубликовать настоящее распоряжение в газете «Вестник Петровского муниципального округа».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Настояще</w:t>
      </w:r>
      <w:r>
        <w:rPr>
          <w:color w:val="000000"/>
          <w:sz w:val="28"/>
          <w:szCs w:val="28"/>
        </w:rPr>
        <w:t xml:space="preserve">е распоряжение «О назначении публичных слушаний по проекту планировки территории и проекту межевания территории линейного объекта «Оросительная система на землях ООО «АПК» Петровского МО, Ставропольского края. 1 Этап» вступает в силу со дня его подписания.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Н.В.Конкина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6"/>
        <w:gridCol w:w="478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17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line="240" w:lineRule="exact"/>
            </w:pPr>
            <w:r>
              <w:rPr>
                <w:sz w:val="28"/>
                <w:szCs w:val="28"/>
              </w:rPr>
              <w:t xml:space="preserve">Приложение 1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17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line="240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главы Петровского муниципального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jc w:val="center"/>
              <w:spacing w:line="240" w:lineRule="exact"/>
            </w:pPr>
            <w:r>
              <w:rPr>
                <w:sz w:val="28"/>
                <w:szCs w:val="28"/>
              </w:rPr>
              <w:t xml:space="preserve">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17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617"/>
              <w:spacing w:line="240" w:lineRule="exact"/>
            </w:pPr>
            <w:r>
              <w:rPr>
                <w:sz w:val="28"/>
                <w:szCs w:val="28"/>
              </w:rPr>
              <w:t xml:space="preserve">__</w:t>
            </w:r>
            <w:r/>
          </w:p>
        </w:tc>
      </w:tr>
    </w:tbl>
    <w:p>
      <w:pPr>
        <w:pStyle w:val="617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публичных слушаний по проекту планировки территории и проекту межевания территории линейного объекта «Оросительная система на землях ООО «АПК» Петровского МО, Ставропольского края. 1 Этап»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09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7"/>
              <w:jc w:val="both"/>
            </w:pPr>
            <w:r>
              <w:rPr>
                <w:sz w:val="28"/>
                <w:szCs w:val="28"/>
              </w:rPr>
              <w:t xml:space="preserve">Ковтун Владимир Борисович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– начальник отдела сельского хозяйства и охраны окружающей среды администрации Петровского муниципального округа Ставропольского края, председатель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Русанова Галина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jc w:val="both"/>
            </w:pPr>
            <w:r>
              <w:rPr>
                <w:sz w:val="28"/>
                <w:szCs w:val="28"/>
              </w:rPr>
              <w:t xml:space="preserve">Петровна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17"/>
              <w:jc w:val="both"/>
            </w:pPr>
            <w:r>
              <w:rPr>
                <w:sz w:val="28"/>
                <w:szCs w:val="28"/>
              </w:rPr>
              <w:t xml:space="preserve">начальник отдела планирования территорий и землеустройства – главный архитектор администрации Петровского муниципального округа Ставропольского края, заместитель председателя комиссии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Юдина Екатерина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Ставропольского края, секретарь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2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Панкова Галина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</w:pPr>
            <w:r>
              <w:rPr>
                <w:sz w:val="28"/>
                <w:szCs w:val="28"/>
              </w:rPr>
              <w:t xml:space="preserve">Павловна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17"/>
              <w:jc w:val="both"/>
            </w:pPr>
            <w:r>
              <w:rPr>
                <w:sz w:val="28"/>
                <w:szCs w:val="28"/>
              </w:rPr>
              <w:t xml:space="preserve">главный специалист отдела планирования территорий и землеустройства администрации Петровского муниципального округа Ставропольского края                                                                        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7"/>
            </w:pPr>
            <w:r>
              <w:rPr>
                <w:sz w:val="28"/>
                <w:szCs w:val="28"/>
              </w:rPr>
              <w:t xml:space="preserve">Ткаленко Анастасия Сергеевна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17"/>
              <w:jc w:val="both"/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Ставропольского края</w:t>
            </w:r>
            <w:r/>
          </w:p>
        </w:tc>
      </w:tr>
    </w:tbl>
    <w:p>
      <w:pPr>
        <w:pStyle w:val="617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ind w:right="140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Ю.В.Петрич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6"/>
        <w:gridCol w:w="478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17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line="240" w:lineRule="exact"/>
            </w:pPr>
            <w:r>
              <w:rPr>
                <w:sz w:val="28"/>
                <w:szCs w:val="28"/>
              </w:rPr>
              <w:t xml:space="preserve">Приложение 2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17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line="240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главы Петровского муниципального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jc w:val="center"/>
              <w:spacing w:line="240" w:lineRule="exact"/>
            </w:pPr>
            <w:r>
              <w:rPr>
                <w:sz w:val="28"/>
                <w:szCs w:val="28"/>
              </w:rPr>
              <w:t xml:space="preserve">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17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617"/>
              <w:spacing w:line="240" w:lineRule="exact"/>
            </w:pPr>
            <w:r>
              <w:rPr>
                <w:sz w:val="28"/>
                <w:szCs w:val="28"/>
              </w:rPr>
              <w:t xml:space="preserve">__ ____</w:t>
            </w:r>
            <w:r/>
          </w:p>
        </w:tc>
      </w:tr>
    </w:tbl>
    <w:p>
      <w:pPr>
        <w:pStyle w:val="617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ОПОВЕЩЕНИЕ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начале публичных слушаний по проекту планировки территории и проекту межевания территории линейного объекта «Оросительная система на землях ООО «АПК» Петровского МО, Ставропольского края. 1 Этап»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публичные слушания выносит</w:t>
      </w:r>
      <w:r>
        <w:rPr>
          <w:color w:val="000000"/>
          <w:sz w:val="28"/>
          <w:szCs w:val="28"/>
        </w:rPr>
        <w:t xml:space="preserve">ся проект планировки территории и проект межевания территории линейного объекта «Оросительная система на землях ООО «АПК» Петровского МО, Ставропольского края. 1 Этап» (далее - проект планировки территории и проект межевания территории линейного объекта).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публичных слушаний: администрация Петровского муниципального округа Ставропольского края.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Российская Федерация, Ставропольский край, Петровский муниципальный округ, г. Светлоград, пл. 50 лет Октября, зд. 8, каб. 318.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информационных материалов: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проект планировки территории и проект межевания территории линейного объекта, </w:t>
      </w:r>
      <w:r>
        <w:rPr>
          <w:sz w:val="28"/>
          <w:szCs w:val="28"/>
        </w:rPr>
        <w:t xml:space="preserve">подготовленные обществом с ограниченной ответственностью Инженерно-геодезическая компания «КадастрПРО»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Экспозиция открыта с 19 июля 2024 года по 05 августа 2024 года.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Часы работы экспозиции: в рабочие дни с 09-00 часов до 12-00.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Собрание участников публичных слушаний состоится в 14-00 часов            </w:t>
      </w:r>
      <w:r>
        <w:rPr>
          <w:color w:val="000000"/>
          <w:sz w:val="28"/>
          <w:szCs w:val="28"/>
        </w:rPr>
        <w:t xml:space="preserve">   05 августа 2024 года на третьем этаже каб. № 318 здания администрации Петровского муниципального округа Ставропольского края, по адресу: Российская Федерация, Ставропольский край, Петровский муниципальный округ, г. Светлоград, пл. 50 лет Октября, зд. 8.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начала регистрации участников 13-30 часов                                        05 августа 2024 года.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проекту: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письменной или устной форме в ходе проведения собрания участников публичных слушаний;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письменной форме в адрес организатора публичных слушаний;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Номера контактных телефонов 8 (85647) 4-05-42.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Почтовый адрес организатора публичных слушаний: 356530, Российская Федерация, Ставропольский край, Петровский муниципальный округ, г. Светлоград, пл. 50 лет Октября, зд. 8.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Электронный адрес организатора публичных слушаний: </w:t>
      </w:r>
      <w:r>
        <w:fldChar w:fldCharType="begin"/>
      </w:r>
      <w:r>
        <w:instrText xml:space="preserve"> HYPERLINK "https://petrgosk.gosuslugi.ru/"</w:instrText>
      </w:r>
      <w:r>
        <w:fldChar w:fldCharType="separate"/>
      </w:r>
      <w:r>
        <w:rPr>
          <w:rStyle w:val="621"/>
          <w:color w:val="000000"/>
          <w:sz w:val="28"/>
          <w:szCs w:val="28"/>
        </w:rPr>
        <w:t xml:space="preserve">https://petrgosk.gosuslugi.ru/</w:t>
      </w:r>
      <w:r>
        <w:fldChar w:fldCharType="end"/>
      </w:r>
      <w:r>
        <w:rPr>
          <w:color w:val="000000"/>
          <w:sz w:val="28"/>
          <w:szCs w:val="28"/>
        </w:rPr>
        <w:t xml:space="preserve">, информационные материалы по проекту планировки территории и проекту межевания территории линейного объекта, размещены на сайте </w:t>
      </w:r>
      <w:r>
        <w:fldChar w:fldCharType="begin"/>
      </w:r>
      <w:r>
        <w:instrText xml:space="preserve"> HYPERLINK "http://www.petradm.ru/"</w:instrText>
      </w:r>
      <w:r>
        <w:fldChar w:fldCharType="separate"/>
      </w:r>
      <w:r>
        <w:rPr>
          <w:rStyle w:val="621"/>
          <w:color w:val="000000"/>
          <w:sz w:val="28"/>
          <w:szCs w:val="28"/>
          <w:u w:val="none"/>
        </w:rPr>
        <w:t xml:space="preserve">http://petrgosk.ru/</w:t>
      </w:r>
      <w:r>
        <w:fldChar w:fldCharType="end"/>
      </w:r>
      <w:r>
        <w:rPr>
          <w:color w:val="000000"/>
          <w:sz w:val="28"/>
          <w:szCs w:val="28"/>
        </w:rPr>
        <w:t xml:space="preserve"> в разделе общество – архитектура и градостроительство – публичные слушания.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ind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7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right="0"/>
        <w:jc w:val="right"/>
        <w:widowControl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ПРОЕКТ</w: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pStyle w:val="639"/>
        <w:ind w:right="0"/>
        <w:jc w:val="center"/>
        <w:widowControl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pStyle w:val="639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639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639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39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639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 Светлоград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639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648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проекту планировки территории и проекту межевания территории линейного объекта «Оросительная система на землях ООО «АПК» Петровского МО, Ставропольского края. 1 Этап»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left="0" w:right="0" w:firstLine="0"/>
        <w:jc w:val="both"/>
        <w:spacing w:before="0" w:after="0" w:line="23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общества с ограниченной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ответственностью «Агропромышленная корпорация»  от 27.06.2023 вх. № 10-1372, проект планировки территории и проект межевания территории для размещения линейного объекта «Оросительная система на землях ООО «АПК» Петровского МО, Ставропольского края. 1 Этап»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подготовленное обществом с ограниченной ответственностью Инженерно-геодезическая компания «КдастрПРО»,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Петровского муниципального округа Ставропольского края от 18 июня 2024г. № 1041 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подготовке документации по проекту планировки территории для размещения линейного объекта «Оросительная система на землях ООО «АПК» Петровского МО, Ставропольского края. 1 Этап»</w:t>
      </w:r>
      <w:r>
        <w:rPr>
          <w:rFonts w:ascii="Times New Roman" w:hAnsi="Times New Roman" w:cs="Times New Roman"/>
          <w:sz w:val="28"/>
          <w:szCs w:val="28"/>
        </w:rPr>
        <w:t xml:space="preserve">, техническое задание на разработку документации по планировке территории (проект планировки и межевания территории), технический отчёт по результата</w:t>
      </w:r>
      <w:r>
        <w:rPr>
          <w:rFonts w:ascii="Times New Roman" w:hAnsi="Times New Roman" w:cs="Times New Roman"/>
          <w:sz w:val="28"/>
          <w:szCs w:val="28"/>
        </w:rPr>
        <w:t xml:space="preserve">м инженерно-геодезических изысканий для подготовки проектной документации, подготовленный обществом с ограниченной ответственностью Инженерно-геодезическая компания «КдастрПРО»,  распоряжение главы Петровского муниципального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17 июля </w:t>
      </w:r>
      <w:r>
        <w:rPr>
          <w:rFonts w:ascii="Times New Roman" w:hAnsi="Times New Roman" w:cs="Times New Roman"/>
          <w:sz w:val="28"/>
          <w:szCs w:val="28"/>
        </w:rPr>
        <w:t xml:space="preserve">2024 г. № </w:t>
      </w:r>
      <w:r>
        <w:rPr>
          <w:rFonts w:ascii="Times New Roman" w:hAnsi="Times New Roman" w:cs="Times New Roman"/>
          <w:sz w:val="28"/>
          <w:szCs w:val="28"/>
        </w:rPr>
        <w:t xml:space="preserve">26-р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планировки территории и проекту межевания территории линейного объекта «Оросительная система на землях ООО «АПК» Петровского МО, Ставропольского края. 1 Этап», опубликование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«Вестник Петровского муниципального округа» от 21 июня 2024 г. № 28 (034), опубликование в газете «Вестник Петровского муниципального округа» от __________ 2024 г. № _____, протокол публичных слушаний от _________ 2024 г., заключение о результата</w:t>
      </w:r>
      <w:r>
        <w:rPr>
          <w:rFonts w:ascii="Times New Roman" w:hAnsi="Times New Roman" w:cs="Times New Roman"/>
          <w:sz w:val="28"/>
          <w:szCs w:val="28"/>
        </w:rPr>
        <w:t xml:space="preserve">х публичных слушаний от _________ 2024 г., опубликование заключения о результатах публичных слушаний в газете «Вестник Петровского муниципального округа» от _________ 2024 г. № ______, и в соответствии со ст. 5.1, ст. 46 Градостроительного кодекса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пунктом 26 части 1 статьи 16 Федерального закона от 06 октября 2003 года № 131-ФЗ «Об общих принципах организации местного самоуправления в Российской Федерации», пунктом 2 статьи 7 Федерального закона от 14 марта 2022 г. № 58-ФЗ «О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отдельные законодательные акты Российской Федерации», пунктом 10 части 1 статьи 18 Федерального закона от 8 марта 2022 г. № 46-ФЗ «О внесении изменений в отдельные законодательные акты Российской Федерации», постановлением Правительства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от 02 апреля 2022 г.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</w:t>
      </w:r>
      <w:r>
        <w:rPr>
          <w:rFonts w:ascii="Times New Roman" w:hAnsi="Times New Roman" w:cs="Times New Roman"/>
          <w:sz w:val="28"/>
          <w:szCs w:val="28"/>
        </w:rPr>
        <w:t xml:space="preserve">ального строительства, разрешений на ввод в эксплуатацию», административным регламентом предоставления администрацией Петровского городского округа Ставропольского края муниципальной услуги «Утверждение документации по планировке территории», утвержденным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15 июля 2021 г. № 1141,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документацию по планировке территории линейного объекта «Оросительная система на землях ООО «АПК» Петровского МО, Ставропольского края. 1 Этап», состоящую из проекта планировки территории и проекта межевания территории.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Н</w:t>
      </w:r>
      <w:r>
        <w:rPr>
          <w:rFonts w:ascii="Times New Roman" w:hAnsi="Times New Roman"/>
          <w:sz w:val="28"/>
          <w:szCs w:val="28"/>
        </w:rPr>
        <w:t xml:space="preserve">аправить настоящее постановление в Управление Федеральной службы государственной регистрации, кадастра и картографии по Ставропольскому краю для внесения сведений в Единый государственный реестр недвижимости.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319" w:lineRule="exac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Настоящее постановление вступает в силу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jc w:val="both"/>
        <w:spacing w:before="0" w:after="0" w:line="319" w:lineRule="exac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jc w:val="both"/>
        <w:spacing w:before="0" w:after="0" w:line="319" w:lineRule="exac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spacing w:before="0" w:after="0" w:line="240" w:lineRule="exact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spacing w:before="0" w:after="0" w:line="240" w:lineRule="exact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spacing w:before="0" w:after="0" w:line="240" w:lineRule="exact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spacing w:before="0" w:after="0" w:line="240" w:lineRule="exact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48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418" w:right="567" w:bottom="1134" w:left="198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Droid Sans Devanagari">
    <w:panose1 w:val="020B0606030804020204"/>
  </w:font>
  <w:font w:name="Calibri Light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44"/>
    <w:uiPriority w:val="99"/>
  </w:style>
  <w:style w:type="character" w:styleId="45">
    <w:name w:val="Footer Char"/>
    <w:basedOn w:val="11"/>
    <w:link w:val="645"/>
    <w:uiPriority w:val="99"/>
  </w:style>
  <w:style w:type="character" w:styleId="47">
    <w:name w:val="Caption Char"/>
    <w:basedOn w:val="631"/>
    <w:link w:val="645"/>
    <w:uiPriority w:val="99"/>
  </w:style>
  <w:style w:type="table" w:styleId="48">
    <w:name w:val="Table Grid"/>
    <w:basedOn w:val="6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table" w:styleId="6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7" w:default="1">
    <w:name w:val="Normal"/>
    <w:next w:val="61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18">
    <w:name w:val="Основной шрифт абзаца"/>
    <w:next w:val="618"/>
    <w:link w:val="617"/>
  </w:style>
  <w:style w:type="character" w:styleId="619">
    <w:name w:val="Основной шрифт абзаца2"/>
    <w:next w:val="619"/>
    <w:link w:val="617"/>
  </w:style>
  <w:style w:type="character" w:styleId="620">
    <w:name w:val="Основной шрифт абзаца1"/>
    <w:next w:val="620"/>
    <w:link w:val="617"/>
  </w:style>
  <w:style w:type="character" w:styleId="621">
    <w:name w:val="Hyperlink"/>
    <w:next w:val="621"/>
    <w:link w:val="617"/>
    <w:rPr>
      <w:color w:val="0000ff"/>
      <w:u w:val="single"/>
    </w:rPr>
  </w:style>
  <w:style w:type="character" w:styleId="622">
    <w:name w:val="Название Знак"/>
    <w:next w:val="622"/>
    <w:link w:val="617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623">
    <w:name w:val="Текст выноски Знак"/>
    <w:next w:val="623"/>
    <w:link w:val="617"/>
    <w:rPr>
      <w:rFonts w:ascii="Segoe UI" w:hAnsi="Segoe UI" w:eastAsia="Times New Roman" w:cs="Segoe UI"/>
      <w:sz w:val="18"/>
      <w:szCs w:val="18"/>
    </w:rPr>
  </w:style>
  <w:style w:type="character" w:styleId="624">
    <w:name w:val="Strong"/>
    <w:next w:val="624"/>
    <w:link w:val="617"/>
    <w:rPr>
      <w:b/>
      <w:bCs/>
    </w:rPr>
  </w:style>
  <w:style w:type="character" w:styleId="625">
    <w:name w:val="Верхний колонтитул Знак"/>
    <w:next w:val="625"/>
    <w:link w:val="617"/>
    <w:rPr>
      <w:rFonts w:ascii="Times New Roman" w:hAnsi="Times New Roman" w:eastAsia="Times New Roman" w:cs="Times New Roman"/>
      <w:sz w:val="24"/>
      <w:szCs w:val="24"/>
    </w:rPr>
  </w:style>
  <w:style w:type="character" w:styleId="626">
    <w:name w:val="Нижний колонтитул Знак"/>
    <w:next w:val="626"/>
    <w:link w:val="617"/>
    <w:rPr>
      <w:rFonts w:ascii="Times New Roman" w:hAnsi="Times New Roman" w:eastAsia="Times New Roman" w:cs="Times New Roman"/>
      <w:sz w:val="24"/>
      <w:szCs w:val="24"/>
    </w:rPr>
  </w:style>
  <w:style w:type="character" w:styleId="627">
    <w:name w:val="Название Знак1"/>
    <w:next w:val="627"/>
    <w:link w:val="617"/>
    <w:rPr>
      <w:rFonts w:ascii="Calibri Light" w:hAnsi="Calibri Light" w:eastAsia="Times New Roman" w:cs="Times New Roman"/>
      <w:b/>
      <w:bCs/>
      <w:sz w:val="32"/>
      <w:szCs w:val="32"/>
      <w:lang w:eastAsia="zh-CN"/>
    </w:rPr>
  </w:style>
  <w:style w:type="paragraph" w:styleId="628">
    <w:name w:val="Заголовок"/>
    <w:basedOn w:val="617"/>
    <w:next w:val="629"/>
    <w:link w:val="617"/>
    <w:pPr>
      <w:jc w:val="center"/>
    </w:pPr>
    <w:rPr>
      <w:b/>
      <w:bCs/>
      <w:sz w:val="28"/>
      <w:lang w:val="en-US"/>
    </w:rPr>
  </w:style>
  <w:style w:type="paragraph" w:styleId="629">
    <w:name w:val="Body Text"/>
    <w:basedOn w:val="617"/>
    <w:next w:val="629"/>
    <w:link w:val="617"/>
    <w:pPr>
      <w:spacing w:before="0" w:after="140" w:line="276" w:lineRule="auto"/>
    </w:pPr>
  </w:style>
  <w:style w:type="paragraph" w:styleId="630">
    <w:name w:val="List"/>
    <w:basedOn w:val="629"/>
    <w:next w:val="630"/>
    <w:link w:val="617"/>
    <w:rPr>
      <w:rFonts w:cs="Droid Sans Devanagari"/>
    </w:rPr>
  </w:style>
  <w:style w:type="paragraph" w:styleId="631">
    <w:name w:val="Caption"/>
    <w:basedOn w:val="617"/>
    <w:next w:val="631"/>
    <w:link w:val="617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2">
    <w:name w:val="Указатель"/>
    <w:basedOn w:val="617"/>
    <w:next w:val="632"/>
    <w:link w:val="617"/>
    <w:pPr>
      <w:suppressLineNumbers/>
    </w:pPr>
    <w:rPr>
      <w:rFonts w:cs="Droid Sans Devanagari"/>
    </w:rPr>
  </w:style>
  <w:style w:type="paragraph" w:styleId="633">
    <w:name w:val="Название объекта"/>
    <w:basedOn w:val="617"/>
    <w:next w:val="633"/>
    <w:link w:val="617"/>
    <w:pPr>
      <w:jc w:val="center"/>
    </w:pPr>
    <w:rPr>
      <w:b/>
      <w:bCs/>
      <w:sz w:val="28"/>
    </w:rPr>
  </w:style>
  <w:style w:type="paragraph" w:styleId="634">
    <w:name w:val="Указатель2"/>
    <w:basedOn w:val="617"/>
    <w:next w:val="634"/>
    <w:link w:val="617"/>
    <w:pPr>
      <w:suppressLineNumbers/>
    </w:pPr>
    <w:rPr>
      <w:rFonts w:cs="Droid Sans Devanagari"/>
    </w:rPr>
  </w:style>
  <w:style w:type="paragraph" w:styleId="635">
    <w:name w:val="Название объекта1"/>
    <w:basedOn w:val="617"/>
    <w:next w:val="635"/>
    <w:link w:val="617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6">
    <w:name w:val="Указатель1"/>
    <w:basedOn w:val="617"/>
    <w:next w:val="636"/>
    <w:link w:val="617"/>
    <w:pPr>
      <w:suppressLineNumbers/>
    </w:pPr>
    <w:rPr>
      <w:rFonts w:cs="Droid Sans Devanagari"/>
    </w:rPr>
  </w:style>
  <w:style w:type="paragraph" w:styleId="637">
    <w:name w:val="Caption1"/>
    <w:basedOn w:val="617"/>
    <w:next w:val="637"/>
    <w:link w:val="617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8">
    <w:name w:val="Без интервала"/>
    <w:next w:val="638"/>
    <w:link w:val="61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39">
    <w:name w:val="ConsTitle"/>
    <w:next w:val="639"/>
    <w:link w:val="617"/>
    <w:pPr>
      <w:widowControl w:val="off"/>
    </w:pPr>
    <w:rPr>
      <w:rFonts w:ascii="Arial" w:hAnsi="Arial" w:eastAsia="Times New Roman" w:cs="Arial"/>
      <w:b/>
      <w:color w:val="auto"/>
      <w:sz w:val="16"/>
      <w:szCs w:val="20"/>
      <w:lang w:val="ru-RU" w:eastAsia="zh-CN" w:bidi="ar-SA"/>
    </w:rPr>
  </w:style>
  <w:style w:type="paragraph" w:styleId="640">
    <w:name w:val="ConsNonformat"/>
    <w:next w:val="640"/>
    <w:link w:val="617"/>
    <w:pPr>
      <w:ind w:left="0" w:right="19772" w:firstLine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41">
    <w:name w:val="Текст выноски"/>
    <w:basedOn w:val="617"/>
    <w:next w:val="641"/>
    <w:link w:val="617"/>
    <w:rPr>
      <w:rFonts w:ascii="Segoe UI" w:hAnsi="Segoe UI" w:cs="Segoe UI"/>
      <w:sz w:val="18"/>
      <w:szCs w:val="18"/>
      <w:lang w:val="en-US"/>
    </w:rPr>
  </w:style>
  <w:style w:type="paragraph" w:styleId="642">
    <w:name w:val="Обычный (веб)"/>
    <w:basedOn w:val="617"/>
    <w:next w:val="642"/>
    <w:link w:val="617"/>
    <w:pPr>
      <w:spacing w:before="280" w:after="280"/>
    </w:pPr>
  </w:style>
  <w:style w:type="paragraph" w:styleId="643">
    <w:name w:val="Колонтитул"/>
    <w:basedOn w:val="617"/>
    <w:next w:val="643"/>
    <w:link w:val="617"/>
    <w:pPr>
      <w:tabs>
        <w:tab w:val="center" w:pos="4819" w:leader="none"/>
        <w:tab w:val="right" w:pos="9638" w:leader="none"/>
      </w:tabs>
      <w:suppressLineNumbers/>
    </w:pPr>
  </w:style>
  <w:style w:type="paragraph" w:styleId="644">
    <w:name w:val="Header"/>
    <w:basedOn w:val="617"/>
    <w:next w:val="644"/>
    <w:link w:val="617"/>
    <w:pPr>
      <w:tabs>
        <w:tab w:val="center" w:pos="4677" w:leader="none"/>
        <w:tab w:val="right" w:pos="9355" w:leader="none"/>
      </w:tabs>
    </w:pPr>
  </w:style>
  <w:style w:type="paragraph" w:styleId="645">
    <w:name w:val="Footer"/>
    <w:basedOn w:val="617"/>
    <w:next w:val="645"/>
    <w:link w:val="617"/>
    <w:pPr>
      <w:tabs>
        <w:tab w:val="center" w:pos="4677" w:leader="none"/>
        <w:tab w:val="right" w:pos="9355" w:leader="none"/>
      </w:tabs>
    </w:pPr>
  </w:style>
  <w:style w:type="paragraph" w:styleId="646">
    <w:name w:val="Содержимое таблицы"/>
    <w:basedOn w:val="617"/>
    <w:next w:val="646"/>
    <w:link w:val="617"/>
    <w:pPr>
      <w:widowControl w:val="off"/>
      <w:suppressLineNumbers/>
    </w:pPr>
  </w:style>
  <w:style w:type="paragraph" w:styleId="647">
    <w:name w:val="Заголовок таблицы"/>
    <w:basedOn w:val="646"/>
    <w:next w:val="647"/>
    <w:link w:val="617"/>
    <w:pPr>
      <w:jc w:val="center"/>
      <w:suppressLineNumbers/>
    </w:pPr>
    <w:rPr>
      <w:b/>
      <w:bCs/>
    </w:rPr>
  </w:style>
  <w:style w:type="paragraph" w:styleId="648">
    <w:name w:val="No Spacing"/>
    <w:next w:val="648"/>
    <w:link w:val="617"/>
    <w:pPr>
      <w:jc w:val="left"/>
      <w:spacing w:before="0" w:after="0" w:line="240" w:lineRule="auto"/>
      <w:widowControl/>
    </w:pPr>
    <w:rPr>
      <w:rFonts w:ascii="Calibri" w:hAnsi="Calibri" w:eastAsia="Arial" w:cs="Arial"/>
      <w:color w:val="auto"/>
      <w:sz w:val="22"/>
      <w:szCs w:val="22"/>
      <w:lang w:val="ru-RU" w:eastAsia="ru-RU" w:bidi="ar-SA"/>
    </w:rPr>
  </w:style>
  <w:style w:type="character" w:styleId="1617" w:default="1">
    <w:name w:val="Default Paragraph Font"/>
    <w:uiPriority w:val="1"/>
    <w:semiHidden/>
    <w:unhideWhenUsed/>
  </w:style>
  <w:style w:type="numbering" w:styleId="161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revision>4</cp:revision>
  <dcterms:created xsi:type="dcterms:W3CDTF">2018-09-12T05:18:00Z</dcterms:created>
  <dcterms:modified xsi:type="dcterms:W3CDTF">2024-07-19T12:31:13Z</dcterms:modified>
</cp:coreProperties>
</file>