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rPr>
          <w:sz w:val="28"/>
          <w:szCs w:val="28"/>
        </w:rPr>
      </w:pPr>
      <w:r>
        <w:rPr>
          <w:lang w:val="ru-RU"/>
        </w:rPr>
        <w:t xml:space="preserve"> </w:t>
      </w:r>
      <w:r>
        <w:t xml:space="preserve">Р А С П О Р Я Ж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numPr>
          <w:ilvl w:val="0"/>
          <w:numId w:val="1"/>
        </w:numPr>
        <w:ind w:left="0" w:firstLine="0"/>
        <w:jc w:val="center"/>
        <w:rPr>
          <w:sz w:val="24"/>
        </w:rPr>
      </w:pPr>
      <w:r>
        <w:rPr>
          <w:b w:val="0"/>
        </w:rPr>
        <w:t xml:space="preserve">ГЛАВЫ ПЕТРОВСКОГО МУНИЦИПАЛЬНОГО ОКРУГА</w:t>
      </w:r>
      <w:r>
        <w:rPr>
          <w:sz w:val="24"/>
        </w:rPr>
      </w:r>
      <w:r>
        <w:rPr>
          <w:sz w:val="24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9"/>
              <w:ind w:left="-108" w:right="0"/>
              <w:jc w:val="both"/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21 ноября 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9"/>
              <w:jc w:val="right"/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44-р</w:t>
            </w:r>
            <w:r/>
          </w:p>
        </w:tc>
      </w:tr>
    </w:tbl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постановления администрации Петровского муниципального округа Ставропольского края         «О предоставлении разрешения на отклонение от предельных параметров разреше</w:t>
      </w:r>
      <w:r>
        <w:rPr>
          <w:sz w:val="28"/>
          <w:szCs w:val="28"/>
        </w:rPr>
        <w:t xml:space="preserve">нного строительства, реконструкции объекта капитального строительства 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5.1, 40 Градостроительного кодекса Российской Феде</w:t>
      </w:r>
      <w:r>
        <w:rPr>
          <w:sz w:val="28"/>
          <w:szCs w:val="28"/>
        </w:rPr>
        <w:t xml:space="preserve">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</w:t>
      </w:r>
      <w:r>
        <w:rPr>
          <w:sz w:val="28"/>
          <w:szCs w:val="28"/>
        </w:rPr>
        <w:t xml:space="preserve">ого городского округа Ставропольского края от 15 июня 2018 г.     № 80 (с изменениями), проектом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</w:t>
      </w:r>
      <w:r>
        <w:rPr>
          <w:sz w:val="28"/>
          <w:szCs w:val="28"/>
        </w:rPr>
        <w:t xml:space="preserve">ного строительства, реконструкции объекта капитального строительства 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проект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</w:t>
      </w:r>
      <w:r>
        <w:rPr>
          <w:sz w:val="28"/>
          <w:szCs w:val="28"/>
        </w:rPr>
        <w:t xml:space="preserve">и объекта капитального строительства 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25а» (далее – проект постановления).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организации и проведению публичных слушаний по проекту постановления в составе согласно приложению 1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проведение публичных слушаний по проекту постановления на 02 декабря 2024 года на 15 часов 00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 проведения публичных слушаний: первый этаж зал № 1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оповещение о проведении публичных слушаний  согласно приложению 2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оповещение о проведении публичных слушаний: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информационном стенде, оборудованном в здании администрации Петровского муниципального округа Ставропольского края на первом этаже,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планирования территорий и землеустройства администрации Петровского муниципального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Провести экспозицию проекта постановления и информационных материалов к нему;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Обеспечить участие в публичных слушаниях по проекту постановления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(далее – заключение) в срок                           до 04 декабря 2024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Принят</w:t>
      </w:r>
      <w:r>
        <w:rPr>
          <w:sz w:val="28"/>
          <w:szCs w:val="28"/>
        </w:rPr>
        <w:t xml:space="preserve">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Определить следующих участников публичных слушаний по проекту постановления: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пределах территориальной зоны, в границах которой расположен земельный участок и объект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границах земельных участков, прилегающих к земельному участку и правообладатели таких земельных участков или расположенных на них объектов капитального строительства.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Предложения и замечания участников публичных слушаний по проекту постановления направлять в администрацию Петровского муници</w:t>
      </w:r>
      <w:r>
        <w:rPr>
          <w:sz w:val="28"/>
          <w:szCs w:val="28"/>
        </w:rPr>
        <w:t xml:space="preserve">пального округа Ставропольского края, кабинеты №№ 317-318 на третьем этаже здания администрации Петровского муниципального округа Ставропольского края по адресу: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Опубликовать настоящ</w:t>
      </w:r>
      <w:r>
        <w:rPr>
          <w:sz w:val="28"/>
          <w:szCs w:val="28"/>
        </w:rPr>
        <w:t xml:space="preserve">ее распоряжение вместе с проектом постановления в газете «Вестник Петровского муниципального округа»,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11.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распоряжения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12. Настоящее распоряжение вступает в силу со дня его подписания.</w:t>
      </w: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Глава Петровского 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муниципального округа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jc w:val="both"/>
        <w:spacing w:line="240" w:lineRule="exact"/>
        <w:rPr>
          <w:rFonts w:eastAsia="Tahoma" w:cs="Droid Sans Devanagari"/>
          <w:sz w:val="24"/>
          <w:szCs w:val="24"/>
        </w:rPr>
      </w:pPr>
      <w:r>
        <w:rPr>
          <w:color w:val="000000"/>
          <w:sz w:val="28"/>
          <w:szCs w:val="24"/>
        </w:rPr>
        <w:t xml:space="preserve">Ставропольского края </w:t>
        <w:tab/>
        <w:tab/>
        <w:tab/>
        <w:tab/>
        <w:tab/>
        <w:tab/>
        <w:tab/>
        <w:tab/>
        <w:t xml:space="preserve">Н.В.Конкина</w:t>
      </w: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ind w:right="1276"/>
        <w:jc w:val="both"/>
        <w:spacing w:before="6" w:after="0"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jc w:val="both"/>
        <w:spacing w:line="240" w:lineRule="exact"/>
        <w:rPr>
          <w:sz w:val="28"/>
        </w:rPr>
      </w:pPr>
      <w:r>
        <w:rPr>
          <w:sz w:val="28"/>
        </w:rPr>
        <w:t xml:space="preserve">Проект распоряжения вносит исполняющий обязанности заместителя главы администрации Петровского муниципального округа Ставропольского края                                     </w:t>
      </w:r>
      <w:r>
        <w:rPr>
          <w:sz w:val="28"/>
        </w:rPr>
      </w:r>
      <w:r>
        <w:rPr>
          <w:sz w:val="28"/>
        </w:rPr>
      </w:r>
    </w:p>
    <w:p>
      <w:pPr>
        <w:pStyle w:val="619"/>
        <w:jc w:val="both"/>
        <w:spacing w:line="240" w:lineRule="exact"/>
        <w:rPr>
          <w:color w:val="000000"/>
          <w:sz w:val="28"/>
          <w:szCs w:val="24"/>
        </w:rPr>
      </w:pPr>
      <w:r>
        <w:rPr>
          <w:sz w:val="28"/>
        </w:rPr>
        <w:t xml:space="preserve">                                                                                                              </w:t>
      </w:r>
      <w:r>
        <w:rPr>
          <w:sz w:val="28"/>
        </w:rPr>
        <w:t xml:space="preserve">Г.А.Тесленко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ind w:right="1276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ind w:right="1276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Визируют: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Начальник отдела имущественных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и земельных отношений администрации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Петровского муниципального округа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Ставропольского края                                                                        Н.А.Мишура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Начальник правового отдела администрации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Петровского муниципального округа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Ставропольского края </w:t>
        <w:tab/>
        <w:tab/>
        <w:t xml:space="preserve">                                                          О.А.Нехаенко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Начальник отдела по организационно -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кадровым вопросам и профилактике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коррупционных правонарушений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администрации Петровского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муниципального округа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Ставропольского края</w:t>
        <w:tab/>
        <w:tab/>
        <w:tab/>
        <w:t xml:space="preserve">                                                С.Н.Кулькина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Заместитель главы администрации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Петровского муниципального округа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Ставропольского края                                                                            Ю.В.Петрич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spacing w:val="-15"/>
          <w:sz w:val="28"/>
          <w:szCs w:val="28"/>
          <w:lang w:eastAsia="en-US"/>
        </w:rPr>
      </w:pPr>
      <w:r>
        <w:rPr>
          <w:rFonts w:eastAsia="Tahoma"/>
          <w:sz w:val="28"/>
          <w:szCs w:val="28"/>
        </w:rPr>
        <w:t xml:space="preserve">Проект </w:t>
      </w:r>
      <w:r>
        <w:rPr>
          <w:rFonts w:eastAsia="Calibri"/>
          <w:sz w:val="28"/>
          <w:szCs w:val="28"/>
          <w:lang w:eastAsia="en-US"/>
        </w:rPr>
        <w:t xml:space="preserve">распоряжения</w:t>
      </w:r>
      <w:r>
        <w:rPr>
          <w:rFonts w:eastAsia="Tahoma"/>
          <w:sz w:val="28"/>
          <w:szCs w:val="28"/>
        </w:rPr>
        <w:t xml:space="preserve"> подготовлен отделом планирования территорий и землеустройства администрации Петровского муниципального округа Ставропольского края </w:t>
      </w:r>
      <w:r>
        <w:rPr>
          <w:spacing w:val="-15"/>
          <w:sz w:val="28"/>
          <w:szCs w:val="28"/>
          <w:lang w:eastAsia="en-US"/>
        </w:rPr>
      </w:r>
      <w:r>
        <w:rPr>
          <w:spacing w:val="-15"/>
          <w:sz w:val="28"/>
          <w:szCs w:val="28"/>
          <w:lang w:eastAsia="en-US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spacing w:val="-15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pacing w:val="-15"/>
          <w:sz w:val="28"/>
          <w:szCs w:val="28"/>
          <w:lang w:eastAsia="en-US"/>
        </w:rPr>
        <w:tab/>
        <w:tab/>
        <w:tab/>
        <w:t xml:space="preserve">                </w:t>
      </w:r>
      <w:r>
        <w:rPr>
          <w:rFonts w:eastAsia="Tahoma"/>
          <w:spacing w:val="-15"/>
          <w:sz w:val="28"/>
          <w:szCs w:val="28"/>
          <w:lang w:eastAsia="en-US"/>
        </w:rPr>
        <w:t xml:space="preserve">Г.П.</w:t>
      </w:r>
      <w:r>
        <w:rPr>
          <w:rFonts w:eastAsia="Calibri"/>
          <w:spacing w:val="-15"/>
          <w:sz w:val="28"/>
          <w:szCs w:val="28"/>
          <w:lang w:eastAsia="en-US"/>
        </w:rPr>
        <w:t xml:space="preserve">Русанова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1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19"/>
        <w:ind w:right="1274"/>
        <w:spacing w:line="240" w:lineRule="exact"/>
      </w:pPr>
      <w:r/>
      <w:r/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</w:t>
      </w:r>
      <w:r>
        <w:rPr>
          <w:sz w:val="28"/>
          <w:szCs w:val="28"/>
        </w:rPr>
        <w:t xml:space="preserve">ного строительства, реконструкции объекта капитального строительства 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9"/>
        <w:gridCol w:w="19"/>
        <w:gridCol w:w="58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Тесленко Геннадий Александрович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заместителя главы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администрации Петровского муниципального округа Ставропольского края, председатель комиссии</w:t>
            </w:r>
            <w:r/>
          </w:p>
          <w:p>
            <w:pPr>
              <w:pStyle w:val="619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Петровна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муниципального округа Ставропольского края, заместитель председателя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края, секретарь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  <w:jc w:val="both"/>
            </w:pPr>
            <w:r>
              <w:rPr>
                <w:sz w:val="28"/>
                <w:szCs w:val="28"/>
              </w:rPr>
              <w:t xml:space="preserve">Павловна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Мишура Николай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4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Петровского муниципального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57"/>
        <w:ind w:right="0"/>
        <w:jc w:val="both"/>
        <w:widowControl/>
      </w:pPr>
      <w:r/>
      <w:r/>
    </w:p>
    <w:p>
      <w:pPr>
        <w:pStyle w:val="657"/>
        <w:ind w:right="0"/>
        <w:jc w:val="both"/>
        <w:widowControl/>
      </w:pPr>
      <w:r/>
      <w:r/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муниципального округа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Ю.В.Петрич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проведение публичных слушаний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выносится проект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</w:t>
      </w:r>
      <w:r>
        <w:rPr>
          <w:color w:val="000000"/>
          <w:sz w:val="28"/>
          <w:szCs w:val="28"/>
        </w:rPr>
        <w:t xml:space="preserve">нного строительства, реконструкции объекта капитального строительства 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публичных слушаний представлены на экспозиции Ставропольский край, Петровский муниципальный округ, г. Светлоград, пл. 50 лет Октября, зд. 8, каб. 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реконструкции объекта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22 ноября 2024 года по 02 декабря 2024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экспозиции: в рабочие дни с 09-00 часов до 12-00.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</w:t>
      </w:r>
      <w:r>
        <w:rPr>
          <w:sz w:val="28"/>
          <w:szCs w:val="28"/>
        </w:rPr>
        <w:t xml:space="preserve">ся в 15-00 часов,   02 декабря 2024 года на первом этаже зал № 1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        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регистрации участников 14-30 часов                                         02 декабря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8 (865 47) 4-05-42 доб. 7726.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организатора публичных слушаний: 356530 Ставропольский край, Петровский муниципальный округ, г. Светлоград,                                 пл. 50 лет Октября, зд. 8, каб. 317-318.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организатора публичных слушаний: adm@petrgosk.ru.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</w:t>
      </w:r>
      <w:r>
        <w:rPr>
          <w:color w:val="000000"/>
          <w:sz w:val="28"/>
          <w:szCs w:val="28"/>
        </w:rPr>
        <w:t xml:space="preserve">нного строительства, реконструкции объекта капитального строительства 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</w:t>
      </w:r>
      <w:r>
        <w:rPr>
          <w:sz w:val="28"/>
          <w:szCs w:val="28"/>
        </w:rPr>
        <w:t xml:space="preserve">» размещены на сайте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633"/>
          <w:color w:val="000000"/>
          <w:sz w:val="28"/>
          <w:szCs w:val="28"/>
          <w:u w:val="none"/>
        </w:rPr>
        <w:t xml:space="preserve">https://petrgosk.gosuslugi.ru</w:t>
      </w:r>
      <w:r>
        <w:fldChar w:fldCharType="end"/>
      </w:r>
      <w:r>
        <w:rPr>
          <w:rStyle w:val="633"/>
          <w:color w:val="000000"/>
          <w:sz w:val="28"/>
          <w:szCs w:val="28"/>
          <w:u w:val="none"/>
        </w:rPr>
        <w:t xml:space="preserve">/</w:t>
      </w:r>
      <w:r>
        <w:rPr>
          <w:sz w:val="28"/>
          <w:szCs w:val="28"/>
        </w:rPr>
        <w:t xml:space="preserve"> в разделе архитектура и градостроительство.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/>
        <w:jc w:val="right"/>
        <w:widowControl/>
        <w:tabs>
          <w:tab w:val="left" w:pos="7901" w:leader="none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 xml:space="preserve">ПРОЕКТ</w: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665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5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5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65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65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9"/>
              <w:ind w:left="-108" w:right="0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9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9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</w:t>
      </w:r>
      <w:r>
        <w:rPr>
          <w:color w:val="000000"/>
          <w:sz w:val="28"/>
          <w:szCs w:val="28"/>
        </w:rPr>
        <w:t xml:space="preserve">нного строительства, реконструкции объекта капитального строительства 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Рассмотрев </w:t>
      </w:r>
      <w:r>
        <w:rPr>
          <w:sz w:val="28"/>
          <w:szCs w:val="28"/>
        </w:rPr>
        <w:t xml:space="preserve">заявление Абанеевой Наталии Федоровны от 12.11.2024 вх. № 10-2549,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реконструкции объекта капитального строите</w:t>
      </w:r>
      <w:r>
        <w:rPr>
          <w:sz w:val="28"/>
          <w:szCs w:val="28"/>
        </w:rPr>
        <w:t xml:space="preserve">льства, выписки из Единого государственного реестра недвижимости об объекте недвижимости от 12.11.2024 № КУВИ-001/2024-276281478, от 13.11.2024 № КУВИ-001/2024-277067028, распоряжение администрации Петровского муниципального округа Ставропольского края от </w:t>
      </w:r>
      <w:r>
        <w:rPr>
          <w:sz w:val="28"/>
          <w:szCs w:val="28"/>
        </w:rPr>
        <w:t xml:space="preserve">21 ноября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44-р</w:t>
      </w:r>
      <w:r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</w:t>
      </w:r>
      <w:r>
        <w:rPr>
          <w:sz w:val="28"/>
          <w:szCs w:val="28"/>
        </w:rPr>
        <w:t xml:space="preserve">роительства, реконструкции объекта капитального строительства 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25а», опубл</w:t>
      </w:r>
      <w:r>
        <w:rPr>
          <w:sz w:val="28"/>
          <w:szCs w:val="28"/>
        </w:rPr>
        <w:t xml:space="preserve">икование в газете «Вестник Петровского муниципального округа» от __ ________ 2024 г. № ______, протокол публичных слушаний от ___ ________ 2024 г., заключение о результатах публичных слушаний от ___ ___________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3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ОД)</w:t>
      </w:r>
      <w:r>
        <w:rPr>
          <w:sz w:val="28"/>
          <w:szCs w:val="28"/>
        </w:rPr>
        <w:t xml:space="preserve">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>
        <w:rPr>
          <w:color w:val="000000"/>
          <w:sz w:val="28"/>
          <w:szCs w:val="28"/>
        </w:rPr>
        <w:t xml:space="preserve">Абанеевой Наталии Федоровне разрешение на отклонение от предельных параметров разрешенного строительства, реконструкции объекта капитального строительства для земельного участка из земель населенных пунктов п</w:t>
      </w:r>
      <w:r>
        <w:rPr>
          <w:color w:val="000000"/>
          <w:sz w:val="28"/>
          <w:szCs w:val="28"/>
        </w:rPr>
        <w:t xml:space="preserve">лощадью 383 кв.м,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25а, с видом разрешенного использования: магазины (далее – земельный участок):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максимального процента застройки для земельного участка с 60% до 69,7 %;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жилого дома под магазин от грани</w:t>
      </w:r>
      <w:r>
        <w:rPr>
          <w:color w:val="000000"/>
          <w:sz w:val="28"/>
          <w:szCs w:val="28"/>
        </w:rPr>
        <w:t xml:space="preserve">цы с земельным участком из земель населенных пунктов площадью 226034 кв.м, с кадастровым номером 26:08:000000:489, местоположение: Ставропольский край, Петровский район, автомобильная дорога «Светлоград-Благодарный-Буденновск», с 1,00 метра до 0,22 метров;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жилого д</w:t>
      </w:r>
      <w:r>
        <w:rPr>
          <w:color w:val="000000"/>
          <w:sz w:val="28"/>
          <w:szCs w:val="28"/>
        </w:rPr>
        <w:t xml:space="preserve">ома под магазин от границы с земельным участком из земель населенных пунктов площадью 3674 кв.м, с кадастровым номером 26:08:040630:5, местоположение: Ставропольский край, Петровский район,    г. Светлоград, ул. Николаенко, 25, с 1,00 метра до 0,22 метров;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жил</w:t>
      </w:r>
      <w:r>
        <w:rPr>
          <w:color w:val="000000"/>
          <w:sz w:val="28"/>
          <w:szCs w:val="28"/>
        </w:rPr>
        <w:t xml:space="preserve">ого дома под магазин от границы с земельным участком из земель населенных пунктов площадью 273 кв.м, с кадастровым номером 26:08:040630:35, местоположение: Ставропольский край, Петровский район, г. Светлоград, ул. Малыгина, 48, с 1,00 метра до 0,38 метров.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Настоящее постановление вступает в силу со дня его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7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418" w:right="567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60"/>
    <w:uiPriority w:val="99"/>
  </w:style>
  <w:style w:type="character" w:styleId="45">
    <w:name w:val="Footer Char"/>
    <w:basedOn w:val="11"/>
    <w:link w:val="661"/>
    <w:uiPriority w:val="99"/>
  </w:style>
  <w:style w:type="character" w:styleId="47">
    <w:name w:val="Caption Char"/>
    <w:basedOn w:val="642"/>
    <w:link w:val="661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link w:val="619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0">
    <w:name w:val="Heading 1"/>
    <w:basedOn w:val="619"/>
    <w:next w:val="619"/>
    <w:link w:val="619"/>
    <w:pPr>
      <w:numPr>
        <w:ilvl w:val="0"/>
        <w:numId w:val="1"/>
      </w:numPr>
      <w:keepNext/>
      <w:outlineLvl w:val="0"/>
    </w:pPr>
    <w:rPr>
      <w:b/>
      <w:sz w:val="24"/>
    </w:rPr>
  </w:style>
  <w:style w:type="paragraph" w:styleId="621">
    <w:name w:val="Heading 2"/>
    <w:basedOn w:val="619"/>
    <w:next w:val="619"/>
    <w:link w:val="6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2">
    <w:name w:val="Heading 5"/>
    <w:basedOn w:val="619"/>
    <w:next w:val="640"/>
    <w:link w:val="619"/>
    <w:pPr>
      <w:numPr>
        <w:ilvl w:val="0"/>
        <w:numId w:val="0"/>
      </w:numPr>
      <w:ind w:left="0" w:right="0" w:firstLine="0"/>
      <w:keepNext/>
      <w:widowControl w:val="off"/>
      <w:outlineLvl w:val="4"/>
    </w:pPr>
    <w:rPr>
      <w:rFonts w:eastAsia="Calibri"/>
      <w:sz w:val="28"/>
      <w:szCs w:val="20"/>
    </w:rPr>
  </w:style>
  <w:style w:type="character" w:styleId="623">
    <w:name w:val="Основной шрифт абзаца"/>
    <w:next w:val="623"/>
    <w:link w:val="619"/>
  </w:style>
  <w:style w:type="character" w:styleId="624">
    <w:name w:val="Основной шрифт абзаца4"/>
    <w:next w:val="624"/>
    <w:link w:val="619"/>
  </w:style>
  <w:style w:type="character" w:styleId="625">
    <w:name w:val="Основной шрифт абзаца3"/>
    <w:next w:val="625"/>
    <w:link w:val="619"/>
  </w:style>
  <w:style w:type="character" w:styleId="626">
    <w:name w:val="Основной шрифт абзаца2"/>
    <w:next w:val="626"/>
    <w:link w:val="619"/>
  </w:style>
  <w:style w:type="character" w:styleId="627">
    <w:name w:val="Основной шрифт абзаца1"/>
    <w:next w:val="627"/>
    <w:link w:val="619"/>
  </w:style>
  <w:style w:type="character" w:styleId="628">
    <w:name w:val="Основной текст Знак"/>
    <w:next w:val="628"/>
    <w:link w:val="619"/>
    <w:rPr>
      <w:sz w:val="28"/>
      <w:lang w:val="ru-RU" w:bidi="ar-SA"/>
    </w:rPr>
  </w:style>
  <w:style w:type="character" w:styleId="629">
    <w:name w:val="Текст выноски Знак"/>
    <w:next w:val="629"/>
    <w:link w:val="619"/>
    <w:rPr>
      <w:rFonts w:ascii="Tahoma" w:hAnsi="Tahoma" w:cs="Tahoma"/>
      <w:sz w:val="16"/>
      <w:szCs w:val="16"/>
    </w:rPr>
  </w:style>
  <w:style w:type="character" w:styleId="630">
    <w:name w:val="Верхний колонтитул Знак"/>
    <w:basedOn w:val="627"/>
    <w:next w:val="630"/>
    <w:link w:val="619"/>
  </w:style>
  <w:style w:type="character" w:styleId="631">
    <w:name w:val="Нижний колонтитул Знак"/>
    <w:basedOn w:val="627"/>
    <w:next w:val="631"/>
    <w:link w:val="619"/>
  </w:style>
  <w:style w:type="character" w:styleId="632">
    <w:name w:val="Название Знак"/>
    <w:next w:val="632"/>
    <w:link w:val="619"/>
    <w:rPr>
      <w:b/>
      <w:sz w:val="32"/>
    </w:rPr>
  </w:style>
  <w:style w:type="character" w:styleId="633">
    <w:name w:val="Hyperlink"/>
    <w:next w:val="633"/>
    <w:link w:val="619"/>
    <w:rPr>
      <w:color w:val="0000ff"/>
      <w:u w:val="single"/>
    </w:rPr>
  </w:style>
  <w:style w:type="character" w:styleId="634">
    <w:name w:val="Заголовок 2 Знак"/>
    <w:next w:val="634"/>
    <w:link w:val="61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5">
    <w:name w:val="blk"/>
    <w:basedOn w:val="627"/>
    <w:next w:val="635"/>
    <w:link w:val="619"/>
  </w:style>
  <w:style w:type="character" w:styleId="636">
    <w:name w:val="Заголовок 1 Знак"/>
    <w:next w:val="636"/>
    <w:link w:val="619"/>
    <w:rPr>
      <w:sz w:val="28"/>
      <w:szCs w:val="24"/>
    </w:rPr>
  </w:style>
  <w:style w:type="character" w:styleId="637">
    <w:name w:val="WW8Num2z0"/>
    <w:next w:val="637"/>
    <w:link w:val="619"/>
  </w:style>
  <w:style w:type="character" w:styleId="638">
    <w:name w:val="WW8Num1z0"/>
    <w:next w:val="638"/>
    <w:link w:val="619"/>
    <w:rPr>
      <w:sz w:val="24"/>
    </w:rPr>
  </w:style>
  <w:style w:type="paragraph" w:styleId="639">
    <w:name w:val="Заголовок"/>
    <w:basedOn w:val="619"/>
    <w:next w:val="640"/>
    <w:link w:val="619"/>
    <w:pPr>
      <w:jc w:val="center"/>
    </w:pPr>
    <w:rPr>
      <w:b/>
      <w:sz w:val="32"/>
      <w:lang w:val="en-US"/>
    </w:rPr>
  </w:style>
  <w:style w:type="paragraph" w:styleId="640">
    <w:name w:val="Body Text"/>
    <w:basedOn w:val="619"/>
    <w:next w:val="640"/>
    <w:link w:val="619"/>
    <w:rPr>
      <w:sz w:val="28"/>
    </w:rPr>
  </w:style>
  <w:style w:type="paragraph" w:styleId="641">
    <w:name w:val="List"/>
    <w:basedOn w:val="640"/>
    <w:next w:val="641"/>
    <w:link w:val="619"/>
    <w:rPr>
      <w:rFonts w:cs="Droid Sans Devanagari"/>
    </w:rPr>
  </w:style>
  <w:style w:type="paragraph" w:styleId="642">
    <w:name w:val="Caption"/>
    <w:basedOn w:val="619"/>
    <w:next w:val="64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3">
    <w:name w:val="Указатель"/>
    <w:basedOn w:val="619"/>
    <w:next w:val="643"/>
    <w:link w:val="619"/>
    <w:pPr>
      <w:suppressLineNumbers/>
    </w:pPr>
    <w:rPr>
      <w:rFonts w:cs="Droid Sans Devanagari"/>
    </w:rPr>
  </w:style>
  <w:style w:type="paragraph" w:styleId="644">
    <w:name w:val="Название объекта"/>
    <w:basedOn w:val="619"/>
    <w:next w:val="644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5">
    <w:name w:val="Указатель4"/>
    <w:basedOn w:val="619"/>
    <w:next w:val="645"/>
    <w:link w:val="619"/>
    <w:pPr>
      <w:suppressLineNumbers/>
    </w:pPr>
    <w:rPr>
      <w:rFonts w:cs="Droid Sans Devanagari"/>
    </w:rPr>
  </w:style>
  <w:style w:type="paragraph" w:styleId="646">
    <w:name w:val="Caption1"/>
    <w:basedOn w:val="619"/>
    <w:next w:val="646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Caption11"/>
    <w:basedOn w:val="619"/>
    <w:next w:val="647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8">
    <w:name w:val="Название объекта3"/>
    <w:basedOn w:val="619"/>
    <w:next w:val="648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9">
    <w:name w:val="Указатель3"/>
    <w:basedOn w:val="619"/>
    <w:next w:val="649"/>
    <w:link w:val="619"/>
    <w:pPr>
      <w:suppressLineNumbers/>
    </w:pPr>
    <w:rPr>
      <w:rFonts w:cs="Droid Sans Devanagari"/>
    </w:rPr>
  </w:style>
  <w:style w:type="paragraph" w:styleId="650">
    <w:name w:val="Caption111"/>
    <w:basedOn w:val="619"/>
    <w:next w:val="650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1">
    <w:name w:val="Caption1111"/>
    <w:basedOn w:val="619"/>
    <w:next w:val="65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2">
    <w:name w:val="Caption11111"/>
    <w:basedOn w:val="619"/>
    <w:next w:val="65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3">
    <w:name w:val="Название объекта2"/>
    <w:basedOn w:val="619"/>
    <w:next w:val="653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4">
    <w:name w:val="Указатель2"/>
    <w:basedOn w:val="619"/>
    <w:next w:val="654"/>
    <w:link w:val="619"/>
    <w:pPr>
      <w:suppressLineNumbers/>
    </w:pPr>
    <w:rPr>
      <w:rFonts w:cs="Droid Sans Devanagari"/>
    </w:rPr>
  </w:style>
  <w:style w:type="paragraph" w:styleId="655">
    <w:name w:val="Название объекта1"/>
    <w:basedOn w:val="619"/>
    <w:next w:val="655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6">
    <w:name w:val="Указатель1"/>
    <w:basedOn w:val="619"/>
    <w:next w:val="656"/>
    <w:link w:val="619"/>
    <w:pPr>
      <w:suppressLineNumbers/>
    </w:pPr>
    <w:rPr>
      <w:rFonts w:cs="Droid Sans Devanagari"/>
    </w:rPr>
  </w:style>
  <w:style w:type="paragraph" w:styleId="657">
    <w:name w:val="ConsNonformat"/>
    <w:next w:val="657"/>
    <w:link w:val="619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58">
    <w:name w:val="Текст выноски"/>
    <w:basedOn w:val="619"/>
    <w:next w:val="658"/>
    <w:link w:val="619"/>
    <w:rPr>
      <w:rFonts w:ascii="Tahoma" w:hAnsi="Tahoma" w:cs="Tahoma"/>
      <w:sz w:val="16"/>
      <w:szCs w:val="16"/>
      <w:lang w:val="en-US"/>
    </w:rPr>
  </w:style>
  <w:style w:type="paragraph" w:styleId="659">
    <w:name w:val="Колонтитул"/>
    <w:basedOn w:val="619"/>
    <w:next w:val="659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60">
    <w:name w:val="Header"/>
    <w:basedOn w:val="619"/>
    <w:next w:val="660"/>
    <w:link w:val="619"/>
    <w:pPr>
      <w:tabs>
        <w:tab w:val="center" w:pos="4677" w:leader="none"/>
        <w:tab w:val="right" w:pos="9355" w:leader="none"/>
      </w:tabs>
    </w:pPr>
  </w:style>
  <w:style w:type="paragraph" w:styleId="661">
    <w:name w:val="Footer"/>
    <w:basedOn w:val="619"/>
    <w:next w:val="661"/>
    <w:link w:val="619"/>
    <w:pPr>
      <w:tabs>
        <w:tab w:val="center" w:pos="4677" w:leader="none"/>
        <w:tab w:val="right" w:pos="9355" w:leader="none"/>
      </w:tabs>
    </w:pPr>
  </w:style>
  <w:style w:type="paragraph" w:styleId="662">
    <w:name w:val="ConsPlusNonformat"/>
    <w:next w:val="662"/>
    <w:link w:val="619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63">
    <w:name w:val="ConsNormal"/>
    <w:next w:val="663"/>
    <w:link w:val="619"/>
    <w:pPr>
      <w:ind w:left="0" w:right="19772" w:firstLine="720"/>
      <w:jc w:val="both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64">
    <w:name w:val="Обычный (веб)"/>
    <w:basedOn w:val="619"/>
    <w:next w:val="664"/>
    <w:link w:val="619"/>
    <w:pPr>
      <w:spacing w:before="280" w:after="280"/>
    </w:pPr>
    <w:rPr>
      <w:sz w:val="24"/>
      <w:szCs w:val="24"/>
    </w:rPr>
  </w:style>
  <w:style w:type="paragraph" w:styleId="665">
    <w:name w:val="ConsTitle"/>
    <w:next w:val="665"/>
    <w:link w:val="619"/>
    <w:pPr>
      <w:ind w:left="0" w:right="19772" w:firstLine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666">
    <w:name w:val="Без интервала"/>
    <w:next w:val="666"/>
    <w:link w:val="61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67">
    <w:name w:val="Т-1"/>
    <w:basedOn w:val="619"/>
    <w:next w:val="667"/>
    <w:link w:val="619"/>
    <w:pPr>
      <w:ind w:left="0" w:right="0" w:firstLine="720"/>
      <w:jc w:val="both"/>
      <w:spacing w:line="360" w:lineRule="auto"/>
    </w:pPr>
    <w:rPr>
      <w:sz w:val="28"/>
    </w:rPr>
  </w:style>
  <w:style w:type="paragraph" w:styleId="668">
    <w:name w:val="Содержимое таблицы"/>
    <w:basedOn w:val="619"/>
    <w:next w:val="668"/>
    <w:link w:val="619"/>
    <w:pPr>
      <w:widowControl w:val="off"/>
      <w:suppressLineNumbers/>
    </w:pPr>
  </w:style>
  <w:style w:type="paragraph" w:styleId="669">
    <w:name w:val="Заголовок таблицы"/>
    <w:basedOn w:val="668"/>
    <w:next w:val="669"/>
    <w:link w:val="619"/>
    <w:pPr>
      <w:jc w:val="center"/>
      <w:suppressLineNumbers/>
    </w:pPr>
    <w:rPr>
      <w:b/>
      <w:bCs/>
    </w:rPr>
  </w:style>
  <w:style w:type="paragraph" w:styleId="670">
    <w:name w:val="Без интервала1"/>
    <w:next w:val="670"/>
    <w:link w:val="61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71">
    <w:name w:val="Схема документа1"/>
    <w:basedOn w:val="619"/>
    <w:next w:val="671"/>
    <w:link w:val="61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970" w:default="1">
    <w:name w:val="Default Paragraph Font"/>
    <w:uiPriority w:val="1"/>
    <w:semiHidden/>
    <w:unhideWhenUsed/>
  </w:style>
  <w:style w:type="numbering" w:styleId="197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2018-11-01T10:46:00Z</dcterms:created>
  <dcterms:modified xsi:type="dcterms:W3CDTF">2024-11-25T08:00:07Z</dcterms:modified>
</cp:coreProperties>
</file>