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firstLine="0"/>
        <w:jc w:val="center"/>
        <w:rPr>
          <w:sz w:val="24"/>
        </w:rPr>
      </w:pPr>
      <w:r>
        <w:rPr>
          <w:b w:val="0"/>
        </w:rPr>
        <w:t xml:space="preserve">ГЛАВЫ ПЕТРОВСКОГО МУНИЦИПАЛЬНОГО ОКРУГА</w:t>
      </w:r>
      <w:r>
        <w:rPr>
          <w:sz w:val="24"/>
        </w:rPr>
      </w:r>
      <w:r>
        <w:rPr>
          <w:sz w:val="24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 w:right="0"/>
              <w:jc w:val="both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08 августа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                       №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33- р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Ставропольского края         «О предоставлении разрешения на откло</w:t>
      </w:r>
      <w:r>
        <w:rPr>
          <w:sz w:val="28"/>
          <w:szCs w:val="28"/>
        </w:rPr>
        <w:t xml:space="preserve">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ул. Калинина, 80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5.1, 40 Градостроит</w:t>
      </w:r>
      <w:r>
        <w:rPr>
          <w:sz w:val="28"/>
          <w:szCs w:val="28"/>
        </w:rPr>
        <w:t xml:space="preserve">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</w:t>
      </w:r>
      <w:r>
        <w:rPr>
          <w:sz w:val="28"/>
          <w:szCs w:val="28"/>
        </w:rPr>
        <w:t xml:space="preserve">ением Совета депутатов Петровского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Ставропольского края «О предоставлении разрешения на отклонение от</w:t>
      </w:r>
      <w:r>
        <w:rPr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       ул. Калинина, 80»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</w:t>
      </w:r>
      <w:r>
        <w:rPr>
          <w:sz w:val="28"/>
          <w:szCs w:val="28"/>
        </w:rPr>
        <w:t xml:space="preserve">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ул. Калинина, 80» (далее – проект постановления).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20 августа 2024 года на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часов 00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проведения публичных слушаний: третий этаж каб. № 318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 согласно приложению 2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информационном стенде, оборудованном в здании администрации Петровского муниципального округа Ставропольского края на первом этаже,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22 августа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</w:t>
      </w:r>
      <w:r>
        <w:rPr>
          <w:sz w:val="28"/>
          <w:szCs w:val="28"/>
        </w:rPr>
        <w:t xml:space="preserve">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следующих участников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участок и объект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границах земельных участков, прилегающих к земельному участку и правообладатели таких земельных участков или расположенных на них объектов капитального строительства.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Петровского муниципа</w:t>
      </w:r>
      <w:r>
        <w:rPr>
          <w:sz w:val="28"/>
          <w:szCs w:val="28"/>
        </w:rPr>
        <w:t xml:space="preserve">льного округа Ставропольского края, кабинеты №№ 317-318 на третьем этаже здания администрации Петровского муниципального округа Ставропольского края по адресу: Ставропольский край, Петровский муниципальный округ,  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настояще</w:t>
      </w:r>
      <w:r>
        <w:rPr>
          <w:sz w:val="28"/>
          <w:szCs w:val="28"/>
        </w:rPr>
        <w:t xml:space="preserve">е распоряжение вместе с проектом постановления 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Петровского муниципального округа Ставропольского края  Ковтуна В.Б.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12. Настоящее распоряжение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Глава Петровского 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муниципального округа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rFonts w:eastAsia="Tahoma" w:cs="Droid Sans Devanagari"/>
          <w:sz w:val="24"/>
          <w:szCs w:val="24"/>
        </w:rPr>
      </w:pPr>
      <w:r>
        <w:rPr>
          <w:color w:val="000000"/>
          <w:sz w:val="28"/>
          <w:szCs w:val="24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ind w:right="1276"/>
        <w:jc w:val="both"/>
        <w:spacing w:before="6" w:after="0"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jc w:val="both"/>
        <w:spacing w:line="240" w:lineRule="exact"/>
        <w:rPr>
          <w:rFonts w:eastAsia="Tahoma" w:cs="Droid Sans Devanagari"/>
          <w:spacing w:val="-15"/>
          <w:sz w:val="28"/>
          <w:szCs w:val="28"/>
        </w:rPr>
      </w:pPr>
      <w:r>
        <w:rPr>
          <w:rFonts w:eastAsia="Tahoma" w:cs="Droid Sans Devanagari"/>
          <w:spacing w:val="-15"/>
          <w:sz w:val="28"/>
          <w:szCs w:val="28"/>
        </w:rPr>
      </w:r>
      <w:r>
        <w:rPr>
          <w:rFonts w:eastAsia="Tahoma" w:cs="Droid Sans Devanagari"/>
          <w:spacing w:val="-15"/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9"/>
        <w:ind w:right="1274"/>
        <w:spacing w:line="240" w:lineRule="exact"/>
      </w:pPr>
      <w:r/>
      <w:r/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</w:t>
      </w:r>
      <w:r>
        <w:rPr>
          <w:sz w:val="28"/>
          <w:szCs w:val="28"/>
        </w:rPr>
        <w:t xml:space="preserve">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ул. Калинина, 80»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19"/>
        <w:gridCol w:w="58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Ковтун Владимир Борисович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заместитель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края, председатель комиссии</w:t>
            </w:r>
            <w:r/>
          </w:p>
          <w:p>
            <w:pPr>
              <w:pStyle w:val="619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</w:pPr>
            <w:r>
              <w:rPr>
                <w:sz w:val="28"/>
                <w:szCs w:val="28"/>
              </w:rPr>
              <w:t xml:space="preserve">Петровна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/>
          </w:p>
          <w:p>
            <w:pPr>
              <w:pStyle w:val="619"/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/>
          </w:p>
          <w:p>
            <w:pPr>
              <w:pStyle w:val="619"/>
            </w:pPr>
            <w:r/>
            <w:r/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8"/>
                <w:szCs w:val="28"/>
              </w:rPr>
              <w:t xml:space="preserve">Члены комиссии:</w:t>
            </w:r>
            <w:r/>
          </w:p>
          <w:p>
            <w:pPr>
              <w:pStyle w:val="619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top"/>
            <w:textDirection w:val="lrTb"/>
            <w:noWrap w:val="false"/>
          </w:tcPr>
          <w:p>
            <w:pPr>
              <w:pStyle w:val="619"/>
            </w:pPr>
            <w:r>
              <w:rPr>
                <w:sz w:val="28"/>
                <w:szCs w:val="28"/>
              </w:rPr>
              <w:t xml:space="preserve">Ткаленко Анастасия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4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5"/>
        <w:ind w:right="0"/>
        <w:jc w:val="both"/>
        <w:widowControl/>
      </w:pPr>
      <w:r/>
      <w:r/>
    </w:p>
    <w:p>
      <w:pPr>
        <w:pStyle w:val="655"/>
        <w:ind w:right="0"/>
        <w:jc w:val="both"/>
        <w:widowControl/>
      </w:pPr>
      <w:r/>
      <w:r/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</w:t>
      </w:r>
      <w:r>
        <w:rPr>
          <w:color w:val="000000"/>
          <w:sz w:val="28"/>
          <w:szCs w:val="28"/>
        </w:rPr>
        <w:t xml:space="preserve">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ул. Калинина, 80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09 августа 2024 года по 20 августа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состоится в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-00 часов,   20 августа 2024 года на третьем этаже каб. № 318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        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13-30 часов                                         20 августа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 Ставропольский край, Петровский муниципальный округ, г. Светлоград,                                 пл. 50 лет Октября, зд. 8, каб. 317-318.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https://petrgosk.gosuslugi.ru/.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предоставлении разрешения на откло</w:t>
      </w:r>
      <w:r>
        <w:rPr>
          <w:color w:val="000000"/>
          <w:sz w:val="28"/>
          <w:szCs w:val="28"/>
        </w:rPr>
        <w:t xml:space="preserve">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ул. Калинина, 80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33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633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архитектура и градостроительство.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/>
        <w:jc w:val="right"/>
        <w:widowControl/>
        <w:tabs>
          <w:tab w:val="left" w:pos="7901" w:leader="none"/>
        </w:tabs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</w:rPr>
        <w:t xml:space="preserve">ПРОЕКТ</w: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</w:r>
    </w:p>
    <w:p>
      <w:pPr>
        <w:pStyle w:val="663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3"/>
        <w:ind w:right="0"/>
        <w:jc w:val="center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p>
      <w:pPr>
        <w:pStyle w:val="663"/>
        <w:ind w:right="0"/>
        <w:jc w:val="center"/>
        <w:widowControl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 w:right="0"/>
              <w:jc w:val="both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619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  <w:rPr>
                <w:b w:val="0"/>
                <w:color w:val="000000"/>
                <w:sz w:val="24"/>
                <w:lang w:val="ru-RU" w:eastAsia="ru-RU"/>
              </w:rPr>
            </w:pPr>
            <w:r>
              <w:rPr>
                <w:b w:val="0"/>
                <w:color w:val="000000"/>
                <w:sz w:val="24"/>
                <w:lang w:val="ru-RU" w:eastAsia="ru-RU"/>
              </w:rPr>
            </w:r>
            <w:r>
              <w:rPr>
                <w:b w:val="0"/>
                <w:color w:val="000000"/>
                <w:sz w:val="24"/>
                <w:lang w:val="ru-RU" w:eastAsia="ru-RU"/>
              </w:rPr>
            </w:r>
          </w:p>
        </w:tc>
      </w:tr>
    </w:tbl>
    <w:p>
      <w:pPr>
        <w:pStyle w:val="619"/>
        <w:jc w:val="both"/>
        <w:spacing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разрешения на откло</w:t>
      </w:r>
      <w:r>
        <w:rPr>
          <w:color w:val="000000"/>
          <w:sz w:val="28"/>
          <w:szCs w:val="28"/>
        </w:rPr>
        <w:t xml:space="preserve">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ул. Калинина, 80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Рассмотрев заявление Салаховой Аиды Мурадовны от 01.08.2024 вх. № 10-1722, заключение общества с ограниченной ответственностью «Архпроектстрой» о возможности отклонения от предельных параметров разрешенного строительства, реконструкции объекта капи</w:t>
      </w:r>
      <w:r>
        <w:rPr>
          <w:sz w:val="28"/>
          <w:szCs w:val="28"/>
        </w:rPr>
        <w:t xml:space="preserve">тального строительства, выписки из Единого государственного реестра недвижимости об объекте недвижимости от 02.08.2024 № КУВИ-001/2024-197228540, КУВИ-001/2024-197230299, распоряжение администрации Петровского муниципального округа Ставропольского края от </w:t>
      </w:r>
      <w:r>
        <w:rPr>
          <w:sz w:val="28"/>
          <w:szCs w:val="28"/>
        </w:rPr>
        <w:t xml:space="preserve">08 августа</w:t>
      </w:r>
      <w:r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 xml:space="preserve">33-р</w:t>
      </w:r>
      <w:r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</w:t>
      </w:r>
      <w:r>
        <w:rPr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26:08:040507:62, местоположение: Ставропольский край, Петровский район, г. Светлоград, ул. Калинина, 80», опубл</w:t>
      </w:r>
      <w:r>
        <w:rPr>
          <w:sz w:val="28"/>
          <w:szCs w:val="28"/>
        </w:rPr>
        <w:t xml:space="preserve">икование в газете «Вестник Петровского муниципального округа» от __ ________ 2024 г. № ______, протокол публичных слушаний от ___ ________ 2024 г., заключение о результатах публичных слушаний от ___ ___________ 2024 г., и в соответствии со ст. 5.1, ст. 40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3"/>
          <w:bCs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</w:t>
      </w:r>
      <w:r>
        <w:rPr>
          <w:sz w:val="28"/>
          <w:szCs w:val="28"/>
        </w:rPr>
        <w:t xml:space="preserve">, администрация Петровского муниципального округа Ставропольского края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Салаховой Аиде Мурадовне </w:t>
      </w:r>
      <w:r>
        <w:rPr>
          <w:color w:val="000000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</w:rPr>
        <w:t xml:space="preserve">для земельного участка из земель населенных пунктов площадью 251 кв.м, с кадастровым номером 26:08:040507:62, местоположение: Ставропольский край, Петровский район, г. Светлоград, ул. Калинина, 80</w:t>
      </w:r>
      <w:r>
        <w:rPr>
          <w:color w:val="000000"/>
          <w:sz w:val="28"/>
          <w:szCs w:val="28"/>
        </w:rPr>
        <w:t xml:space="preserve">, с видом разрешенного использования: индивидуальное жилищное строительство (далее – земельный участок):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максимального процента застройки для земельного участка с 60% до 64 %;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земельным участком из земель населенных пунктов площадью 644 кв.м, с ка</w:t>
      </w:r>
      <w:r>
        <w:rPr>
          <w:sz w:val="28"/>
          <w:szCs w:val="28"/>
        </w:rPr>
        <w:t xml:space="preserve">дастровым номером 26:08:040507:63,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Социалистическая, 4, с 3,00 метров до 0,00 метров;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земельным участком из земель населенных пунктов площадью 289 кв.м, с</w:t>
      </w:r>
      <w:r>
        <w:rPr>
          <w:sz w:val="28"/>
          <w:szCs w:val="28"/>
        </w:rPr>
        <w:t xml:space="preserve"> кадастровым номером 26:08:040507:12, местоположение: установлено относительно ориентира, расположенного в границах участка, почтовый адрес ориентира: Ставропольский край, Петровский район, г. Светлоград, ул. Калинина, дом 78, с 3,00 метров до 0,15 метров;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землями, государственная собственность на которые не разграничена, расположенными с юго -восточной стороны земельного участка, с 3,00 метров до 2,40 метров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уменьшение минимального отступа при реконструкции объекта недвижимости «Жилой дом» от границы с землями, государственная собственность на которые не разграничена, расположенными с северо-западной стороны земельного участка, с 3,00 метров до 0,00 метров.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главы администрации - 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сельского хозяйства и охраны окружающей среды администрации Петровского муниципального округа Ставропольского края  Ковтуна В.Б.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 xml:space="preserve">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8"/>
    <w:uiPriority w:val="99"/>
  </w:style>
  <w:style w:type="character" w:styleId="45">
    <w:name w:val="Footer Char"/>
    <w:basedOn w:val="11"/>
    <w:link w:val="659"/>
    <w:uiPriority w:val="99"/>
  </w:style>
  <w:style w:type="character" w:styleId="47">
    <w:name w:val="Caption Char"/>
    <w:basedOn w:val="642"/>
    <w:link w:val="659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link w:val="61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keepNext/>
      <w:outlineLvl w:val="0"/>
    </w:pPr>
    <w:rPr>
      <w:b/>
      <w:sz w:val="24"/>
    </w:rPr>
  </w:style>
  <w:style w:type="paragraph" w:styleId="621">
    <w:name w:val="Heading 2"/>
    <w:basedOn w:val="619"/>
    <w:next w:val="619"/>
    <w:link w:val="6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2">
    <w:name w:val="Heading 5"/>
    <w:basedOn w:val="619"/>
    <w:next w:val="640"/>
    <w:link w:val="619"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8"/>
      <w:szCs w:val="20"/>
    </w:rPr>
  </w:style>
  <w:style w:type="character" w:styleId="623">
    <w:name w:val="Основной шрифт абзаца"/>
    <w:next w:val="623"/>
    <w:link w:val="619"/>
  </w:style>
  <w:style w:type="character" w:styleId="624">
    <w:name w:val="Основной шрифт абзаца4"/>
    <w:next w:val="624"/>
    <w:link w:val="619"/>
  </w:style>
  <w:style w:type="character" w:styleId="625">
    <w:name w:val="Основной шрифт абзаца3"/>
    <w:next w:val="625"/>
    <w:link w:val="619"/>
  </w:style>
  <w:style w:type="character" w:styleId="626">
    <w:name w:val="Основной шрифт абзаца2"/>
    <w:next w:val="626"/>
    <w:link w:val="619"/>
  </w:style>
  <w:style w:type="character" w:styleId="627">
    <w:name w:val="Основной шрифт абзаца1"/>
    <w:next w:val="627"/>
    <w:link w:val="619"/>
  </w:style>
  <w:style w:type="character" w:styleId="628">
    <w:name w:val="Основной текст Знак"/>
    <w:next w:val="628"/>
    <w:link w:val="619"/>
    <w:rPr>
      <w:sz w:val="28"/>
      <w:lang w:val="ru-RU" w:bidi="ar-SA"/>
    </w:rPr>
  </w:style>
  <w:style w:type="character" w:styleId="629">
    <w:name w:val="Текст выноски Знак"/>
    <w:next w:val="629"/>
    <w:link w:val="619"/>
    <w:rPr>
      <w:rFonts w:ascii="Tahoma" w:hAnsi="Tahoma" w:cs="Tahoma"/>
      <w:sz w:val="16"/>
      <w:szCs w:val="16"/>
    </w:rPr>
  </w:style>
  <w:style w:type="character" w:styleId="630">
    <w:name w:val="Верхний колонтитул Знак"/>
    <w:basedOn w:val="627"/>
    <w:next w:val="630"/>
    <w:link w:val="619"/>
  </w:style>
  <w:style w:type="character" w:styleId="631">
    <w:name w:val="Нижний колонтитул Знак"/>
    <w:basedOn w:val="627"/>
    <w:next w:val="631"/>
    <w:link w:val="619"/>
  </w:style>
  <w:style w:type="character" w:styleId="632">
    <w:name w:val="Название Знак"/>
    <w:next w:val="632"/>
    <w:link w:val="619"/>
    <w:rPr>
      <w:b/>
      <w:sz w:val="32"/>
    </w:rPr>
  </w:style>
  <w:style w:type="character" w:styleId="633">
    <w:name w:val="Hyperlink"/>
    <w:next w:val="633"/>
    <w:link w:val="619"/>
    <w:rPr>
      <w:color w:val="0000ff"/>
      <w:u w:val="single"/>
    </w:rPr>
  </w:style>
  <w:style w:type="character" w:styleId="634">
    <w:name w:val="Заголовок 2 Знак"/>
    <w:next w:val="634"/>
    <w:link w:val="61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5">
    <w:name w:val="blk"/>
    <w:basedOn w:val="627"/>
    <w:next w:val="635"/>
    <w:link w:val="619"/>
  </w:style>
  <w:style w:type="character" w:styleId="636">
    <w:name w:val="Заголовок 1 Знак"/>
    <w:next w:val="636"/>
    <w:link w:val="619"/>
    <w:rPr>
      <w:sz w:val="28"/>
      <w:szCs w:val="24"/>
    </w:rPr>
  </w:style>
  <w:style w:type="character" w:styleId="637">
    <w:name w:val="WW8Num2z0"/>
    <w:next w:val="637"/>
    <w:link w:val="619"/>
  </w:style>
  <w:style w:type="character" w:styleId="638">
    <w:name w:val="WW8Num1z0"/>
    <w:next w:val="638"/>
    <w:link w:val="619"/>
    <w:rPr>
      <w:sz w:val="24"/>
    </w:rPr>
  </w:style>
  <w:style w:type="paragraph" w:styleId="639">
    <w:name w:val="Заголовок"/>
    <w:basedOn w:val="619"/>
    <w:next w:val="640"/>
    <w:link w:val="619"/>
    <w:pPr>
      <w:jc w:val="center"/>
    </w:pPr>
    <w:rPr>
      <w:b/>
      <w:sz w:val="32"/>
      <w:lang w:val="en-US"/>
    </w:rPr>
  </w:style>
  <w:style w:type="paragraph" w:styleId="640">
    <w:name w:val="Body Text"/>
    <w:basedOn w:val="619"/>
    <w:next w:val="640"/>
    <w:link w:val="619"/>
    <w:rPr>
      <w:sz w:val="28"/>
    </w:rPr>
  </w:style>
  <w:style w:type="paragraph" w:styleId="641">
    <w:name w:val="List"/>
    <w:basedOn w:val="640"/>
    <w:next w:val="641"/>
    <w:link w:val="619"/>
    <w:rPr>
      <w:rFonts w:cs="Droid Sans Devanagari"/>
    </w:rPr>
  </w:style>
  <w:style w:type="paragraph" w:styleId="642">
    <w:name w:val="Caption"/>
    <w:basedOn w:val="619"/>
    <w:next w:val="64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3">
    <w:name w:val="Указатель"/>
    <w:basedOn w:val="619"/>
    <w:next w:val="643"/>
    <w:link w:val="619"/>
    <w:pPr>
      <w:suppressLineNumbers/>
    </w:pPr>
    <w:rPr>
      <w:rFonts w:cs="Droid Sans Devanagari"/>
    </w:rPr>
  </w:style>
  <w:style w:type="paragraph" w:styleId="644">
    <w:name w:val="Название объекта"/>
    <w:basedOn w:val="619"/>
    <w:next w:val="644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5">
    <w:name w:val="Указатель4"/>
    <w:basedOn w:val="619"/>
    <w:next w:val="645"/>
    <w:link w:val="619"/>
    <w:pPr>
      <w:suppressLineNumbers/>
    </w:pPr>
    <w:rPr>
      <w:rFonts w:cs="Droid Sans Devanagari"/>
    </w:rPr>
  </w:style>
  <w:style w:type="paragraph" w:styleId="646">
    <w:name w:val="Название объекта3"/>
    <w:basedOn w:val="619"/>
    <w:next w:val="64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7">
    <w:name w:val="Указатель3"/>
    <w:basedOn w:val="619"/>
    <w:next w:val="647"/>
    <w:link w:val="619"/>
    <w:pPr>
      <w:suppressLineNumbers/>
    </w:pPr>
    <w:rPr>
      <w:rFonts w:cs="Droid Sans Devanagari"/>
    </w:rPr>
  </w:style>
  <w:style w:type="paragraph" w:styleId="648">
    <w:name w:val="Caption1"/>
    <w:basedOn w:val="619"/>
    <w:next w:val="64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Caption11"/>
    <w:basedOn w:val="619"/>
    <w:next w:val="649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0">
    <w:name w:val="Caption111"/>
    <w:basedOn w:val="619"/>
    <w:next w:val="650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Название объекта2"/>
    <w:basedOn w:val="619"/>
    <w:next w:val="65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2">
    <w:name w:val="Указатель2"/>
    <w:basedOn w:val="619"/>
    <w:next w:val="652"/>
    <w:link w:val="619"/>
    <w:pPr>
      <w:suppressLineNumbers/>
    </w:pPr>
    <w:rPr>
      <w:rFonts w:cs="Droid Sans Devanagari"/>
    </w:rPr>
  </w:style>
  <w:style w:type="paragraph" w:styleId="653">
    <w:name w:val="Название объекта1"/>
    <w:basedOn w:val="619"/>
    <w:next w:val="65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4">
    <w:name w:val="Указатель1"/>
    <w:basedOn w:val="619"/>
    <w:next w:val="654"/>
    <w:link w:val="619"/>
    <w:pPr>
      <w:suppressLineNumbers/>
    </w:pPr>
    <w:rPr>
      <w:rFonts w:cs="Droid Sans Devanagari"/>
    </w:rPr>
  </w:style>
  <w:style w:type="paragraph" w:styleId="655">
    <w:name w:val="ConsNonformat"/>
    <w:next w:val="655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56">
    <w:name w:val="Текст выноски"/>
    <w:basedOn w:val="619"/>
    <w:next w:val="656"/>
    <w:link w:val="619"/>
    <w:rPr>
      <w:rFonts w:ascii="Tahoma" w:hAnsi="Tahoma" w:cs="Tahoma"/>
      <w:sz w:val="16"/>
      <w:szCs w:val="16"/>
      <w:lang w:val="en-US"/>
    </w:rPr>
  </w:style>
  <w:style w:type="paragraph" w:styleId="657">
    <w:name w:val="Колонтитул"/>
    <w:basedOn w:val="619"/>
    <w:next w:val="657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58">
    <w:name w:val="Header"/>
    <w:basedOn w:val="619"/>
    <w:next w:val="658"/>
    <w:link w:val="619"/>
    <w:pPr>
      <w:tabs>
        <w:tab w:val="center" w:pos="4677" w:leader="none"/>
        <w:tab w:val="right" w:pos="9355" w:leader="none"/>
      </w:tabs>
    </w:pPr>
  </w:style>
  <w:style w:type="paragraph" w:styleId="659">
    <w:name w:val="Footer"/>
    <w:basedOn w:val="619"/>
    <w:next w:val="659"/>
    <w:link w:val="619"/>
    <w:pPr>
      <w:tabs>
        <w:tab w:val="center" w:pos="4677" w:leader="none"/>
        <w:tab w:val="right" w:pos="9355" w:leader="none"/>
      </w:tabs>
    </w:pPr>
  </w:style>
  <w:style w:type="paragraph" w:styleId="660">
    <w:name w:val="ConsPlusNonformat"/>
    <w:next w:val="660"/>
    <w:link w:val="619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61">
    <w:name w:val="ConsNormal"/>
    <w:next w:val="661"/>
    <w:link w:val="619"/>
    <w:pPr>
      <w:ind w:left="0" w:right="19772" w:firstLine="720"/>
      <w:jc w:val="both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62">
    <w:name w:val="Обычный (веб)"/>
    <w:basedOn w:val="619"/>
    <w:next w:val="662"/>
    <w:link w:val="619"/>
    <w:pPr>
      <w:spacing w:before="280" w:after="280"/>
    </w:pPr>
    <w:rPr>
      <w:sz w:val="24"/>
      <w:szCs w:val="24"/>
    </w:rPr>
  </w:style>
  <w:style w:type="paragraph" w:styleId="663">
    <w:name w:val="ConsTitle"/>
    <w:next w:val="663"/>
    <w:link w:val="619"/>
    <w:pPr>
      <w:ind w:left="0" w:right="19772" w:firstLine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664">
    <w:name w:val="Без интервала"/>
    <w:next w:val="664"/>
    <w:link w:val="61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65">
    <w:name w:val="Т-1"/>
    <w:basedOn w:val="619"/>
    <w:next w:val="665"/>
    <w:link w:val="619"/>
    <w:pPr>
      <w:ind w:left="0" w:right="0" w:firstLine="720"/>
      <w:jc w:val="both"/>
      <w:spacing w:line="360" w:lineRule="auto"/>
    </w:pPr>
    <w:rPr>
      <w:sz w:val="28"/>
    </w:rPr>
  </w:style>
  <w:style w:type="paragraph" w:styleId="666">
    <w:name w:val="Содержимое таблицы"/>
    <w:basedOn w:val="619"/>
    <w:next w:val="666"/>
    <w:link w:val="619"/>
    <w:pPr>
      <w:widowControl w:val="off"/>
      <w:suppressLineNumbers/>
    </w:pPr>
  </w:style>
  <w:style w:type="paragraph" w:styleId="667">
    <w:name w:val="Заголовок таблицы"/>
    <w:basedOn w:val="666"/>
    <w:next w:val="667"/>
    <w:link w:val="619"/>
    <w:pPr>
      <w:jc w:val="center"/>
      <w:suppressLineNumbers/>
    </w:pPr>
    <w:rPr>
      <w:b/>
      <w:bCs/>
    </w:rPr>
  </w:style>
  <w:style w:type="paragraph" w:styleId="668">
    <w:name w:val="Без интервала1"/>
    <w:next w:val="668"/>
    <w:link w:val="61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69">
    <w:name w:val="Схема документа1"/>
    <w:basedOn w:val="619"/>
    <w:next w:val="669"/>
    <w:link w:val="61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611" w:default="1">
    <w:name w:val="Default Paragraph Font"/>
    <w:uiPriority w:val="1"/>
    <w:semiHidden/>
    <w:unhideWhenUsed/>
  </w:style>
  <w:style w:type="numbering" w:styleId="16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2018-11-01T10:46:00Z</dcterms:created>
  <dcterms:modified xsi:type="dcterms:W3CDTF">2024-08-12T06:20:02Z</dcterms:modified>
</cp:coreProperties>
</file>