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8"/>
        <w:ind w:right="0"/>
        <w:jc w:val="center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8"/>
        <w:ind w:right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right="0"/>
        <w:jc w:val="center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8"/>
        <w:ind w:right="0"/>
        <w:jc w:val="center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8"/>
        <w:ind w:right="0"/>
        <w:jc w:val="center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1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18 июня 2024 г.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t xml:space="preserve">г. Светлоград</w:t>
            </w:r>
            <w:r/>
          </w:p>
          <w:p>
            <w:pPr>
              <w:pStyle w:val="620"/>
              <w:jc w:val="center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1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1041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620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подготовке документации по проекту планировки территории </w:t>
      </w:r>
      <w:r>
        <w:rPr>
          <w:sz w:val="28"/>
          <w:szCs w:val="28"/>
        </w:rPr>
        <w:t xml:space="preserve">для размещения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линейного </w:t>
      </w:r>
      <w:r>
        <w:rPr>
          <w:sz w:val="28"/>
          <w:szCs w:val="28"/>
        </w:rPr>
        <w:t xml:space="preserve">объекта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Оросительная сис</w:t>
      </w:r>
      <w:r>
        <w:rPr>
          <w:sz w:val="28"/>
          <w:szCs w:val="28"/>
        </w:rPr>
        <w:t xml:space="preserve">тем</w:t>
      </w:r>
      <w:r>
        <w:rPr>
          <w:sz w:val="28"/>
          <w:szCs w:val="28"/>
        </w:rPr>
        <w:t xml:space="preserve">а на землях ООО «АПК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Петровского МО, Ставропольского края. 1 Этап»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общества </w:t>
      </w:r>
      <w:r>
        <w:rPr>
          <w:sz w:val="28"/>
          <w:szCs w:val="28"/>
        </w:rPr>
        <w:t xml:space="preserve">с ограниченной ответственностью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Агропромышленная корпорация»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вх. № </w:t>
      </w:r>
      <w:r>
        <w:rPr>
          <w:sz w:val="28"/>
          <w:szCs w:val="28"/>
        </w:rPr>
        <w:t xml:space="preserve">10-</w:t>
      </w:r>
      <w:r>
        <w:rPr>
          <w:sz w:val="28"/>
          <w:szCs w:val="28"/>
        </w:rPr>
        <w:t xml:space="preserve">1221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задание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инженерны</w:t>
      </w:r>
      <w:r>
        <w:rPr>
          <w:sz w:val="28"/>
          <w:szCs w:val="28"/>
        </w:rPr>
        <w:t xml:space="preserve">х изысканий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объект</w:t>
      </w:r>
      <w:r>
        <w:rPr>
          <w:sz w:val="28"/>
          <w:szCs w:val="28"/>
        </w:rPr>
        <w:t xml:space="preserve">у «Оросительная сис</w:t>
      </w:r>
      <w:r>
        <w:rPr>
          <w:sz w:val="28"/>
          <w:szCs w:val="28"/>
        </w:rPr>
        <w:t xml:space="preserve">тем</w:t>
      </w:r>
      <w:r>
        <w:rPr>
          <w:sz w:val="28"/>
          <w:szCs w:val="28"/>
        </w:rPr>
        <w:t xml:space="preserve">а на землях ООО «АПК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Петровского МО, Ставропольского края. 1 Этап»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выписки из Единого государственного реестра недвижимости об объекте недвижимости от </w:t>
      </w:r>
      <w:r>
        <w:rPr>
          <w:color w:val="000000"/>
          <w:sz w:val="28"/>
          <w:szCs w:val="28"/>
        </w:rPr>
        <w:t xml:space="preserve">13.</w:t>
      </w:r>
      <w:r>
        <w:rPr>
          <w:color w:val="000000"/>
          <w:sz w:val="28"/>
          <w:szCs w:val="28"/>
        </w:rPr>
        <w:t xml:space="preserve">06.2024 </w:t>
      </w:r>
      <w:r>
        <w:rPr>
          <w:color w:val="000000"/>
          <w:sz w:val="28"/>
          <w:szCs w:val="28"/>
        </w:rPr>
        <w:t xml:space="preserve">№№ КУВИ-001/2024-</w:t>
      </w:r>
      <w:r>
        <w:rPr>
          <w:color w:val="000000"/>
          <w:sz w:val="28"/>
          <w:szCs w:val="28"/>
        </w:rPr>
        <w:t xml:space="preserve">158605989</w:t>
      </w:r>
      <w:r>
        <w:rPr>
          <w:color w:val="000000"/>
          <w:sz w:val="28"/>
          <w:szCs w:val="28"/>
        </w:rPr>
        <w:t xml:space="preserve">, КУВИ-001/2024-</w:t>
      </w:r>
      <w:r>
        <w:rPr>
          <w:color w:val="000000"/>
          <w:sz w:val="28"/>
          <w:szCs w:val="28"/>
        </w:rPr>
        <w:t xml:space="preserve">158605989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Cs w:val="28"/>
        </w:rPr>
        <w:t xml:space="preserve"> </w:t>
      </w:r>
      <w:r>
        <w:rPr>
          <w:sz w:val="28"/>
          <w:szCs w:val="28"/>
        </w:rPr>
        <w:t xml:space="preserve">и в соответствии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частью 5 статьи 45,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"consultantplus://offline/ref=B331D7686C8993E03985ACDD8C005B40EBA4BB2FF6B5B90271697311D204585688B8199B17021CD9BBw1M" </w:instrText>
      </w:r>
      <w:r>
        <w:fldChar w:fldCharType="separate"/>
      </w:r>
      <w:r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46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Градостроительного кодекса Российской Федерации, </w:t>
      </w:r>
      <w:r>
        <w:rPr>
          <w:sz w:val="28"/>
          <w:szCs w:val="28"/>
        </w:rPr>
        <w:t xml:space="preserve">п. 26 ч. 1 ст. 16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о составе и содержании документации по планировке территории, предусматривающей размещение одного или нескольких линейных объектов</w:t>
      </w:r>
      <w:r>
        <w:rPr>
          <w:sz w:val="28"/>
          <w:szCs w:val="28"/>
        </w:rPr>
        <w:t xml:space="preserve">, утвержденн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Федерации от 12 мая </w:t>
      </w:r>
      <w:r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г. №</w:t>
      </w:r>
      <w:r>
        <w:rPr>
          <w:sz w:val="28"/>
          <w:szCs w:val="28"/>
        </w:rPr>
        <w:t xml:space="preserve"> 564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"https://login.consultant.ru/link/?req=doc&amp;base=LAW&amp;n=327486&amp;dst=100034&amp;field=134&amp;date=12.06.2024"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Правительства Российской</w:t>
      </w:r>
      <w:r>
        <w:rPr>
          <w:sz w:val="28"/>
          <w:szCs w:val="28"/>
        </w:rPr>
        <w:t xml:space="preserve"> Федерации от 31 марта 2017 г. № 402 «</w:t>
      </w:r>
      <w:r>
        <w:rPr>
          <w:sz w:val="28"/>
          <w:szCs w:val="28"/>
        </w:rPr>
        <w:t xml:space="preserve">Об утверждении Правил выполнени</w:t>
      </w:r>
      <w:r>
        <w:rPr>
          <w:sz w:val="28"/>
          <w:szCs w:val="28"/>
        </w:rPr>
        <w:t xml:space="preserve">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</w:t>
      </w:r>
      <w:r>
        <w:rPr>
          <w:sz w:val="28"/>
          <w:szCs w:val="28"/>
        </w:rPr>
        <w:t xml:space="preserve">Федерации от 19 января 2006 г. №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</w:r>
    </w:p>
    <w:p>
      <w:pPr>
        <w:pStyle w:val="620"/>
        <w:jc w:val="both"/>
        <w:spacing w:line="319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line="319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line="319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line="319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line="319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Разрешить </w:t>
      </w:r>
      <w:r>
        <w:rPr>
          <w:rFonts w:ascii="Times New Roman" w:hAnsi="Times New Roman" w:cs="Times New Roman"/>
          <w:sz w:val="28"/>
          <w:szCs w:val="28"/>
        </w:rPr>
        <w:t xml:space="preserve">обществу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«Агропромышленная корпорация»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ИНН 2636039504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ОГРН 1022601943022,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>
        <w:rPr>
          <w:rFonts w:ascii="Times New Roman" w:hAnsi="Times New Roman" w:cs="Times New Roman"/>
          <w:sz w:val="28"/>
          <w:szCs w:val="28"/>
        </w:rPr>
        <w:t xml:space="preserve">за счет собственных средств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по проекту планировки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линейного </w:t>
      </w:r>
      <w:r>
        <w:rPr>
          <w:rFonts w:ascii="Times New Roman" w:hAnsi="Times New Roman" w:cs="Times New Roman"/>
          <w:sz w:val="28"/>
          <w:szCs w:val="28"/>
        </w:rPr>
        <w:t xml:space="preserve">объекта «Оросительная система на землях ООО «АПК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МО, Ставропольского края. 1 Этап»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</w:t>
      </w:r>
      <w:r>
        <w:rPr>
          <w:sz w:val="28"/>
          <w:szCs w:val="28"/>
        </w:rPr>
        <w:t xml:space="preserve">твер</w:t>
      </w:r>
      <w:r>
        <w:rPr>
          <w:sz w:val="28"/>
          <w:szCs w:val="28"/>
        </w:rPr>
        <w:t xml:space="preserve">дить</w:t>
      </w:r>
      <w:r>
        <w:rPr>
          <w:sz w:val="28"/>
          <w:szCs w:val="28"/>
        </w:rPr>
        <w:t xml:space="preserve"> задание на выполнение инженерных изысканий </w:t>
      </w:r>
      <w:r>
        <w:rPr>
          <w:sz w:val="28"/>
          <w:szCs w:val="28"/>
        </w:rPr>
        <w:t xml:space="preserve">на выполнение инженерных изысканий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объект</w:t>
      </w:r>
      <w:r>
        <w:rPr>
          <w:sz w:val="28"/>
          <w:szCs w:val="28"/>
        </w:rPr>
        <w:t xml:space="preserve">у «Оросительная сис</w:t>
      </w:r>
      <w:r>
        <w:rPr>
          <w:sz w:val="28"/>
          <w:szCs w:val="28"/>
        </w:rPr>
        <w:t xml:space="preserve">тем</w:t>
      </w:r>
      <w:r>
        <w:rPr>
          <w:sz w:val="28"/>
          <w:szCs w:val="28"/>
        </w:rPr>
        <w:t xml:space="preserve">а на землях ООО «АПК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Петровского МО, Ставропольского края. 1 Этап».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планирования территорий и землеустройства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края: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 xml:space="preserve">В</w:t>
      </w:r>
      <w:r>
        <w:rPr>
          <w:sz w:val="28"/>
          <w:szCs w:val="28"/>
        </w:rPr>
        <w:t xml:space="preserve"> течение трех дней со дня принятия настоящего постановления</w:t>
      </w:r>
      <w:r>
        <w:rPr>
          <w:color w:val="000000"/>
          <w:sz w:val="28"/>
        </w:rPr>
        <w:t xml:space="preserve"> обеспечить его </w:t>
      </w:r>
      <w:r>
        <w:rPr>
          <w:color w:val="000000"/>
          <w:sz w:val="28"/>
        </w:rPr>
        <w:t xml:space="preserve">опубликовани</w:t>
      </w:r>
      <w:r>
        <w:rPr>
          <w:color w:val="000000"/>
          <w:sz w:val="28"/>
        </w:rPr>
        <w:t xml:space="preserve">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в газете «Вестник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В</w:t>
      </w:r>
      <w:r>
        <w:rPr>
          <w:sz w:val="28"/>
          <w:szCs w:val="28"/>
        </w:rPr>
        <w:t xml:space="preserve"> течение трех дней со дня принятия настоящего постановления</w:t>
      </w:r>
      <w:r>
        <w:rPr>
          <w:color w:val="000000"/>
          <w:sz w:val="28"/>
        </w:rPr>
        <w:t xml:space="preserve"> обеспечить его </w:t>
      </w:r>
      <w:r>
        <w:rPr>
          <w:color w:val="000000"/>
          <w:sz w:val="28"/>
        </w:rPr>
        <w:t xml:space="preserve">размещени</w:t>
      </w:r>
      <w:r>
        <w:rPr>
          <w:color w:val="000000"/>
          <w:sz w:val="28"/>
        </w:rPr>
        <w:t xml:space="preserve">е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физические или юридические лица вправе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течении пятнадцати дней с</w:t>
      </w:r>
      <w:r>
        <w:rPr>
          <w:sz w:val="28"/>
          <w:szCs w:val="28"/>
        </w:rPr>
        <w:t xml:space="preserve">о дня опубликования </w:t>
      </w:r>
      <w:r>
        <w:rPr>
          <w:sz w:val="28"/>
          <w:szCs w:val="28"/>
        </w:rPr>
        <w:t xml:space="preserve">настоящего 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Петровского муниципального округа Ставропольского края </w:t>
      </w:r>
      <w:r>
        <w:rPr>
          <w:sz w:val="28"/>
          <w:szCs w:val="28"/>
        </w:rPr>
        <w:t xml:space="preserve">свои предложения о порядке, сроках подготовки и содержании документации по планировке территории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А.И.</w:t>
      </w:r>
      <w:r>
        <w:rPr>
          <w:sz w:val="28"/>
          <w:szCs w:val="28"/>
        </w:rPr>
      </w:r>
    </w:p>
    <w:p>
      <w:pPr>
        <w:pStyle w:val="6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firstLine="709"/>
        <w:jc w:val="both"/>
        <w:spacing w:line="319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Настоящее постановление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line="319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line="319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Н.В.Конкина</w:t>
      </w:r>
      <w:r>
        <w:rPr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jc w:val="both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заместитель главы администрации – начальник отдела сельского хозяйства и охраны окружающей среды администрации Петровского муниципального округа Ставропольского края</w:t>
      </w:r>
      <w:r>
        <w:rPr>
          <w:color w:val="ffffff"/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  <w:tab/>
        <w:t xml:space="preserve">                                                                                             В.Б.Ковтун</w:t>
      </w:r>
      <w:r>
        <w:rPr>
          <w:color w:val="ffffff"/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  <w:r>
        <w:rPr>
          <w:color w:val="ffffff"/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color w:val="ffffff"/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  <w:r>
        <w:rPr>
          <w:color w:val="ffffff"/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О.А.Нехаенко</w:t>
      </w:r>
      <w:r>
        <w:rPr>
          <w:color w:val="ffffff"/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С.Н.Кулькина</w:t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Ю.В.Петрич</w:t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                                                                                          </w:t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Г.П.Русанова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0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sz w:val="24"/>
      <w:szCs w:val="24"/>
      <w:lang w:val="ru-RU" w:eastAsia="ru-RU" w:bidi="ar-SA"/>
    </w:rPr>
  </w:style>
  <w:style w:type="paragraph" w:styleId="621">
    <w:name w:val="Заголовок 1"/>
    <w:basedOn w:val="620"/>
    <w:next w:val="620"/>
    <w:link w:val="627"/>
    <w:qFormat/>
    <w:pPr>
      <w:jc w:val="center"/>
      <w:keepNext/>
      <w:outlineLvl w:val="0"/>
    </w:pPr>
    <w:rPr>
      <w:sz w:val="28"/>
      <w:lang w:val="en-US" w:eastAsia="en-US"/>
    </w:rPr>
  </w:style>
  <w:style w:type="paragraph" w:styleId="622">
    <w:name w:val="Заголовок 2"/>
    <w:basedOn w:val="620"/>
    <w:next w:val="620"/>
    <w:link w:val="635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623">
    <w:name w:val="Основной шрифт абзаца"/>
    <w:next w:val="623"/>
    <w:link w:val="620"/>
    <w:semiHidden/>
  </w:style>
  <w:style w:type="table" w:styleId="624">
    <w:name w:val="Обычная таблица"/>
    <w:next w:val="624"/>
    <w:link w:val="620"/>
    <w:semiHidden/>
    <w:tblPr/>
  </w:style>
  <w:style w:type="numbering" w:styleId="625">
    <w:name w:val="Нет списка"/>
    <w:next w:val="625"/>
    <w:link w:val="620"/>
    <w:semiHidden/>
  </w:style>
  <w:style w:type="paragraph" w:styleId="626">
    <w:name w:val="Схема документа"/>
    <w:basedOn w:val="620"/>
    <w:next w:val="626"/>
    <w:link w:val="620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627">
    <w:name w:val="Заголовок 1 Знак"/>
    <w:next w:val="627"/>
    <w:link w:val="621"/>
    <w:rPr>
      <w:sz w:val="28"/>
      <w:szCs w:val="24"/>
    </w:rPr>
  </w:style>
  <w:style w:type="paragraph" w:styleId="628">
    <w:name w:val="ConsTitle"/>
    <w:next w:val="628"/>
    <w:link w:val="620"/>
    <w:pPr>
      <w:ind w:right="19772"/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29">
    <w:name w:val="ConsNormal"/>
    <w:next w:val="629"/>
    <w:link w:val="620"/>
    <w:uiPriority w:val="99"/>
    <w:pPr>
      <w:ind w:right="19772"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character" w:styleId="630">
    <w:name w:val="blk"/>
    <w:basedOn w:val="623"/>
    <w:next w:val="630"/>
    <w:link w:val="620"/>
  </w:style>
  <w:style w:type="paragraph" w:styleId="631">
    <w:name w:val="Название"/>
    <w:basedOn w:val="620"/>
    <w:next w:val="631"/>
    <w:link w:val="632"/>
    <w:uiPriority w:val="99"/>
    <w:qFormat/>
    <w:pPr>
      <w:jc w:val="center"/>
    </w:pPr>
    <w:rPr>
      <w:b/>
      <w:bCs/>
      <w:sz w:val="32"/>
      <w:lang w:val="en-US" w:eastAsia="en-US"/>
    </w:rPr>
  </w:style>
  <w:style w:type="character" w:styleId="632">
    <w:name w:val="Название Знак"/>
    <w:next w:val="632"/>
    <w:link w:val="631"/>
    <w:uiPriority w:val="99"/>
    <w:rPr>
      <w:b/>
      <w:bCs/>
      <w:sz w:val="32"/>
      <w:szCs w:val="24"/>
    </w:rPr>
  </w:style>
  <w:style w:type="paragraph" w:styleId="633">
    <w:name w:val="Без интервала1"/>
    <w:next w:val="633"/>
    <w:link w:val="620"/>
    <w:rPr>
      <w:rFonts w:ascii="Calibri" w:hAnsi="Calibri" w:cs="Calibri"/>
      <w:sz w:val="22"/>
      <w:szCs w:val="22"/>
      <w:lang w:val="ru-RU" w:eastAsia="ru-RU" w:bidi="ar-SA"/>
    </w:rPr>
  </w:style>
  <w:style w:type="paragraph" w:styleId="634">
    <w:name w:val="ConsNonformat"/>
    <w:next w:val="634"/>
    <w:link w:val="620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character" w:styleId="635">
    <w:name w:val="Заголовок 2 Знак"/>
    <w:next w:val="635"/>
    <w:link w:val="622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636">
    <w:name w:val="Текст выноски"/>
    <w:basedOn w:val="620"/>
    <w:next w:val="636"/>
    <w:link w:val="637"/>
    <w:rPr>
      <w:rFonts w:ascii="Segoe UI" w:hAnsi="Segoe UI"/>
      <w:sz w:val="18"/>
      <w:szCs w:val="18"/>
      <w:lang w:val="en-US" w:eastAsia="en-US"/>
    </w:rPr>
  </w:style>
  <w:style w:type="character" w:styleId="637">
    <w:name w:val="Текст выноски Знак"/>
    <w:next w:val="637"/>
    <w:link w:val="636"/>
    <w:rPr>
      <w:rFonts w:ascii="Segoe UI" w:hAnsi="Segoe UI" w:cs="Segoe UI"/>
      <w:sz w:val="18"/>
      <w:szCs w:val="18"/>
    </w:rPr>
  </w:style>
  <w:style w:type="character" w:styleId="638">
    <w:name w:val="Гиперссылка"/>
    <w:next w:val="638"/>
    <w:link w:val="620"/>
    <w:uiPriority w:val="99"/>
    <w:unhideWhenUsed/>
    <w:rPr>
      <w:color w:val="0000ff"/>
      <w:u w:val="single"/>
    </w:rPr>
  </w:style>
  <w:style w:type="paragraph" w:styleId="639">
    <w:name w:val="Без интервала"/>
    <w:next w:val="639"/>
    <w:link w:val="620"/>
    <w:uiPriority w:val="1"/>
    <w:qFormat/>
    <w:rPr>
      <w:sz w:val="24"/>
      <w:szCs w:val="24"/>
      <w:lang w:val="ru-RU" w:eastAsia="ru-RU" w:bidi="ar-SA"/>
    </w:rPr>
  </w:style>
  <w:style w:type="paragraph" w:styleId="640">
    <w:name w:val="ConsPlusNormal"/>
    <w:next w:val="640"/>
    <w:link w:val="620"/>
    <w:rPr>
      <w:rFonts w:ascii="Arial" w:hAnsi="Arial" w:cs="Arial"/>
      <w:lang w:val="ru-RU" w:eastAsia="ru-RU" w:bidi="ar-SA"/>
    </w:rPr>
  </w:style>
  <w:style w:type="paragraph" w:styleId="641">
    <w:name w:val="Обычный (веб)"/>
    <w:basedOn w:val="620"/>
    <w:next w:val="641"/>
    <w:link w:val="620"/>
  </w:style>
  <w:style w:type="character" w:styleId="1301" w:default="1">
    <w:name w:val="Default Paragraph Font"/>
    <w:uiPriority w:val="1"/>
    <w:semiHidden/>
    <w:unhideWhenUsed/>
  </w:style>
  <w:style w:type="numbering" w:styleId="1302" w:default="1">
    <w:name w:val="No List"/>
    <w:uiPriority w:val="99"/>
    <w:semiHidden/>
    <w:unhideWhenUsed/>
  </w:style>
  <w:style w:type="table" w:styleId="13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revision>3</cp:revision>
  <dcterms:created xsi:type="dcterms:W3CDTF">2024-06-19T05:58:00Z</dcterms:created>
  <dcterms:modified xsi:type="dcterms:W3CDTF">2024-06-21T12:52:08Z</dcterms:modified>
  <cp:version>917504</cp:version>
</cp:coreProperties>
</file>