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ind w:right="0"/>
        <w:jc w:val="center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46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46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46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46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6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04 июня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6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952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</w:t>
      </w:r>
      <w:r>
        <w:rPr>
          <w:color w:val="000000"/>
          <w:sz w:val="28"/>
          <w:szCs w:val="28"/>
        </w:rPr>
        <w:t xml:space="preserve">о участка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Транспортная, 96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Фроловой Виктории Александровны и Фролова Игоря Вячеславовича от 15.04.2024 вх.  № 10-831, заключение о возможности отклонения от предельных параметров разрешенного стр</w:t>
      </w:r>
      <w:r>
        <w:rPr>
          <w:sz w:val="28"/>
          <w:szCs w:val="28"/>
        </w:rPr>
        <w:t xml:space="preserve">оительства, реконструкции объекта капитального строительства, подготовленное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17.04.2024 №№ КУВИ-001/2024-1086209</w:t>
      </w:r>
      <w:r>
        <w:rPr>
          <w:sz w:val="28"/>
          <w:szCs w:val="28"/>
        </w:rPr>
        <w:t xml:space="preserve">82, КУВИ-001/2024-108620982, распоряжение главы Петровского муниципального округа Ставропольского края от 03 мая 2024 г. № 16-р «О назначении публичных слушаний 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</w:t>
      </w:r>
      <w:r>
        <w:rPr>
          <w:color w:val="000000"/>
          <w:sz w:val="28"/>
          <w:szCs w:val="28"/>
        </w:rPr>
        <w:t xml:space="preserve">льства для земельного участка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ул. Транспортная, 96</w:t>
      </w:r>
      <w:r>
        <w:rPr>
          <w:sz w:val="28"/>
          <w:szCs w:val="28"/>
        </w:rPr>
        <w:t xml:space="preserve">», опубликование в газете «Вестник Петровского муниципального округа» от 17 мая 2024 г. № 22 (028), протокол публичных слушаний от 27 мая 2024 г., заключение о результатах публичных слушаний от 27 мая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3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Фроловой Виктории Александровне и Фролову Игорю Вячеславовичу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1</w:t>
      </w:r>
      <w:r>
        <w:rPr>
          <w:sz w:val="28"/>
          <w:szCs w:val="28"/>
        </w:rPr>
        <w:t xml:space="preserve">099 кв.м,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Транспортная, 96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 видом разрешенного использования: под домами индивидуальной жилой застройки (далее – земельный участок):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</w:t>
      </w:r>
      <w:r>
        <w:rPr>
          <w:color w:val="000000"/>
          <w:sz w:val="28"/>
          <w:szCs w:val="28"/>
        </w:rPr>
        <w:t xml:space="preserve">«Жилой дом» от границы с земельным участком из земель населенных пунктов площадью 622 кв.м, с кадастровым номером 26:08:040404:58, местоположение: Ставропольский край, Петровский район, г. Светлоград, ул. Транспортная, дом 98, с 3,00 метров до 0,20 метров.</w:t>
      </w:r>
      <w:r/>
    </w:p>
    <w:p>
      <w:pPr>
        <w:pStyle w:val="618"/>
        <w:ind w:firstLine="709"/>
        <w:jc w:val="both"/>
        <w:spacing w:line="240" w:lineRule="exact"/>
      </w:pPr>
      <w:r/>
      <w:r/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hd w:val="clear" w:color="auto" w:fill="ffffff"/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/>
    </w:p>
    <w:p>
      <w:pPr>
        <w:pStyle w:val="618"/>
        <w:ind w:firstLine="709"/>
        <w:jc w:val="both"/>
        <w:shd w:val="clear" w:color="auto" w:fill="ffffff"/>
      </w:pPr>
      <w:r/>
      <w:r/>
    </w:p>
    <w:p>
      <w:pPr>
        <w:pStyle w:val="618"/>
        <w:ind w:firstLine="709"/>
        <w:jc w:val="both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 вступает в силу со дня его подписания.</w:t>
      </w: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8"/>
        <w:jc w:val="both"/>
        <w:spacing w:line="240" w:lineRule="exact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8"/>
        <w:jc w:val="both"/>
        <w:spacing w:line="240" w:lineRule="exact"/>
        <w:rPr>
          <w:color w:val="000000"/>
          <w:sz w:val="28"/>
          <w:szCs w:val="28"/>
          <w:shd w:val="clear" w:color="auto" w:fill="d9d9d9"/>
        </w:rPr>
      </w:pPr>
      <w:r>
        <w:rPr>
          <w:color w:val="000000"/>
          <w:sz w:val="28"/>
          <w:szCs w:val="28"/>
          <w:shd w:val="clear" w:color="auto" w:fill="d9d9d9"/>
        </w:rPr>
      </w:r>
      <w:r>
        <w:rPr>
          <w:color w:val="000000"/>
          <w:sz w:val="28"/>
          <w:szCs w:val="28"/>
          <w:shd w:val="clear" w:color="auto" w:fill="d9d9d9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line="240" w:lineRule="exact"/>
              <w:rPr>
                <w:color w:val="ffffff"/>
              </w:rPr>
            </w:pPr>
            <w:r>
              <w:rPr>
                <w:color w:val="ffffff"/>
                <w:sz w:val="28"/>
                <w:szCs w:val="28"/>
              </w:rPr>
              <w:t xml:space="preserve">                  А.И.Бабыкин</w:t>
            </w:r>
            <w:r>
              <w:rPr>
                <w:color w:val="ffffff"/>
              </w:rPr>
            </w:r>
            <w:r>
              <w:rPr>
                <w:color w:val="ffffff"/>
              </w:rPr>
            </w:r>
          </w:p>
        </w:tc>
      </w:tr>
    </w:tbl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ind w:right="-59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18"/>
        <w:ind w:right="-59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18"/>
        <w:ind w:right="-59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Ю.В.Петрич</w:t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Г.П.Русанова</w:t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Основной шрифт абзаца2"/>
    <w:next w:val="624"/>
    <w:link w:val="618"/>
  </w:style>
  <w:style w:type="character" w:styleId="625">
    <w:name w:val="WW8Num1z0"/>
    <w:next w:val="625"/>
    <w:link w:val="618"/>
    <w:rPr>
      <w:sz w:val="24"/>
    </w:rPr>
  </w:style>
  <w:style w:type="character" w:styleId="626">
    <w:name w:val="WW8Num2z0"/>
    <w:next w:val="626"/>
    <w:link w:val="618"/>
  </w:style>
  <w:style w:type="character" w:styleId="627">
    <w:name w:val="Основной шрифт абзаца1"/>
    <w:next w:val="627"/>
    <w:link w:val="618"/>
  </w:style>
  <w:style w:type="character" w:styleId="628">
    <w:name w:val="Заголовок 1 Знак"/>
    <w:next w:val="628"/>
    <w:link w:val="618"/>
    <w:rPr>
      <w:sz w:val="28"/>
      <w:szCs w:val="24"/>
    </w:rPr>
  </w:style>
  <w:style w:type="character" w:styleId="629">
    <w:name w:val="blk"/>
    <w:basedOn w:val="627"/>
    <w:next w:val="629"/>
    <w:link w:val="618"/>
  </w:style>
  <w:style w:type="character" w:styleId="630">
    <w:name w:val="Название Знак"/>
    <w:next w:val="630"/>
    <w:link w:val="618"/>
    <w:rPr>
      <w:b/>
      <w:bCs/>
      <w:sz w:val="32"/>
      <w:szCs w:val="24"/>
    </w:rPr>
  </w:style>
  <w:style w:type="character" w:styleId="631">
    <w:name w:val="Заголовок 2 Знак"/>
    <w:next w:val="631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2">
    <w:name w:val="Текст выноски Знак"/>
    <w:next w:val="632"/>
    <w:link w:val="618"/>
    <w:rPr>
      <w:rFonts w:ascii="Segoe UI" w:hAnsi="Segoe UI" w:cs="Segoe UI"/>
      <w:sz w:val="18"/>
      <w:szCs w:val="18"/>
    </w:rPr>
  </w:style>
  <w:style w:type="character" w:styleId="633">
    <w:name w:val="Гиперссылка"/>
    <w:next w:val="633"/>
    <w:link w:val="618"/>
    <w:rPr>
      <w:color w:val="0000ff"/>
      <w:u w:val="single"/>
    </w:rPr>
  </w:style>
  <w:style w:type="character" w:styleId="634">
    <w:name w:val="Верхний колонтитул Знак"/>
    <w:next w:val="634"/>
    <w:link w:val="618"/>
    <w:rPr>
      <w:sz w:val="24"/>
      <w:szCs w:val="24"/>
    </w:rPr>
  </w:style>
  <w:style w:type="character" w:styleId="635">
    <w:name w:val="Нижний колонтитул Знак"/>
    <w:next w:val="635"/>
    <w:link w:val="618"/>
    <w:rPr>
      <w:sz w:val="24"/>
      <w:szCs w:val="24"/>
    </w:rPr>
  </w:style>
  <w:style w:type="paragraph" w:styleId="636">
    <w:name w:val="Заголовок"/>
    <w:basedOn w:val="618"/>
    <w:next w:val="637"/>
    <w:link w:val="618"/>
    <w:pPr>
      <w:jc w:val="center"/>
    </w:pPr>
    <w:rPr>
      <w:b/>
      <w:bCs/>
      <w:sz w:val="32"/>
      <w:lang w:val="en-US"/>
    </w:rPr>
  </w:style>
  <w:style w:type="paragraph" w:styleId="637">
    <w:name w:val="Основной текст"/>
    <w:basedOn w:val="618"/>
    <w:next w:val="637"/>
    <w:link w:val="618"/>
    <w:pPr>
      <w:spacing w:before="0" w:after="140" w:line="276" w:lineRule="auto"/>
    </w:pPr>
  </w:style>
  <w:style w:type="paragraph" w:styleId="638">
    <w:name w:val="Список"/>
    <w:basedOn w:val="637"/>
    <w:next w:val="638"/>
    <w:link w:val="618"/>
    <w:rPr>
      <w:rFonts w:cs="Droid Sans Devanagari"/>
    </w:rPr>
  </w:style>
  <w:style w:type="paragraph" w:styleId="639">
    <w:name w:val="Название объекта"/>
    <w:basedOn w:val="618"/>
    <w:next w:val="639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0">
    <w:name w:val="Указатель2"/>
    <w:basedOn w:val="618"/>
    <w:next w:val="640"/>
    <w:link w:val="618"/>
    <w:pPr>
      <w:suppressLineNumbers/>
    </w:pPr>
    <w:rPr>
      <w:rFonts w:cs="Droid Sans Devanagari"/>
    </w:rPr>
  </w:style>
  <w:style w:type="paragraph" w:styleId="641">
    <w:name w:val="Caption1"/>
    <w:basedOn w:val="618"/>
    <w:next w:val="641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2">
    <w:name w:val="Caption11"/>
    <w:basedOn w:val="618"/>
    <w:next w:val="64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Название объекта1"/>
    <w:basedOn w:val="618"/>
    <w:next w:val="64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4">
    <w:name w:val="Указатель1"/>
    <w:basedOn w:val="618"/>
    <w:next w:val="644"/>
    <w:link w:val="618"/>
    <w:pPr>
      <w:suppressLineNumbers/>
    </w:pPr>
    <w:rPr>
      <w:rFonts w:cs="Droid Sans Devanagari"/>
    </w:rPr>
  </w:style>
  <w:style w:type="paragraph" w:styleId="645">
    <w:name w:val="Схема документа1"/>
    <w:basedOn w:val="618"/>
    <w:next w:val="645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46">
    <w:name w:val="ConsTitle"/>
    <w:next w:val="646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47">
    <w:name w:val="ConsNormal"/>
    <w:next w:val="647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48">
    <w:name w:val="Без интервала1"/>
    <w:next w:val="648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49">
    <w:name w:val="ConsNonformat"/>
    <w:next w:val="649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50">
    <w:name w:val="Текст выноски"/>
    <w:basedOn w:val="618"/>
    <w:next w:val="650"/>
    <w:link w:val="618"/>
    <w:rPr>
      <w:rFonts w:ascii="Segoe UI" w:hAnsi="Segoe UI" w:cs="Segoe UI"/>
      <w:sz w:val="18"/>
      <w:szCs w:val="18"/>
      <w:lang w:val="en-US"/>
    </w:rPr>
  </w:style>
  <w:style w:type="paragraph" w:styleId="651">
    <w:name w:val="Колонтитул"/>
    <w:basedOn w:val="618"/>
    <w:next w:val="651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52">
    <w:name w:val="Верхний колонтитул"/>
    <w:basedOn w:val="618"/>
    <w:next w:val="652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53">
    <w:name w:val="Нижний колонтитул"/>
    <w:basedOn w:val="618"/>
    <w:next w:val="653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54">
    <w:name w:val="Содержимое таблицы"/>
    <w:basedOn w:val="618"/>
    <w:next w:val="654"/>
    <w:link w:val="618"/>
    <w:pPr>
      <w:widowControl w:val="off"/>
      <w:suppressLineNumbers/>
    </w:pPr>
  </w:style>
  <w:style w:type="paragraph" w:styleId="655">
    <w:name w:val="Заголовок таблицы"/>
    <w:basedOn w:val="654"/>
    <w:next w:val="655"/>
    <w:link w:val="618"/>
    <w:pPr>
      <w:jc w:val="center"/>
      <w:suppressLineNumbers/>
    </w:pPr>
    <w:rPr>
      <w:b/>
      <w:bCs/>
    </w:rPr>
  </w:style>
  <w:style w:type="paragraph" w:styleId="656">
    <w:name w:val="Текст в заданном формате"/>
    <w:basedOn w:val="618"/>
    <w:next w:val="656"/>
    <w:link w:val="618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657">
    <w:name w:val="Обычный (веб)"/>
    <w:basedOn w:val="618"/>
    <w:next w:val="657"/>
    <w:link w:val="618"/>
    <w:pPr>
      <w:spacing w:before="280" w:after="280"/>
    </w:pPr>
  </w:style>
  <w:style w:type="character" w:styleId="1172" w:default="1">
    <w:name w:val="Default Paragraph Font"/>
    <w:uiPriority w:val="1"/>
    <w:semiHidden/>
    <w:unhideWhenUsed/>
  </w:style>
  <w:style w:type="numbering" w:styleId="1173" w:default="1">
    <w:name w:val="No List"/>
    <w:uiPriority w:val="99"/>
    <w:semiHidden/>
    <w:unhideWhenUsed/>
  </w:style>
  <w:style w:type="table" w:styleId="11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2024-06-05T06:48:00Z</dcterms:created>
  <dcterms:modified xsi:type="dcterms:W3CDTF">2024-06-07T11:48:07Z</dcterms:modified>
  <cp:version>917504</cp:version>
</cp:coreProperties>
</file>