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КОМИССИИ ПО ОРГАНИЗАЦИИ И ПРОВЕДЕНИЮ ПУБЛИЧНЫХ СЛУШАНИЙ ПЕТРОВСКОГО МУНИЦИПАЛЬНОГО ОКРУГА СТАВРОПОЛЬСКОГО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</w:t>
        <w:tab/>
        <w:tab/>
        <w:t xml:space="preserve">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«11» июня 2024 года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постановления администрации Петровского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874 кв.м, с условным номером 26:08:040515:ЗУ1, по адресу: Российская Федерация, Ставропольский край, Петровский муниципальный округ, г. Светлоград, ул. Почтовая, з/у 13а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973" w:leader="none"/>
          <w:tab w:val="left" w:pos="6457" w:leader="none"/>
          <w:tab w:val="left" w:pos="8957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распоряжением главы Петровского городского округа Ставропольского края от 29 мая 2024 г. № 20-р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874 кв.м, с условным номером 26:08:040515:ЗУ1, по адресу: Российская Федерация, Ставропольский край, Петровский муниципальный округ, г. Светлоград, ул. Почтовая, з/у 13а»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от 29 мая 2024 г. № 20-р)</w:t>
      </w:r>
      <w:r>
        <w:rPr>
          <w:sz w:val="28"/>
          <w:szCs w:val="28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член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комиссии по организации и проведению публичных слушаний, созданной на основании 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 мая 2024 г. № 20-р </w:t>
      </w:r>
      <w:r>
        <w:rPr>
          <w:sz w:val="28"/>
          <w:szCs w:val="28"/>
        </w:rPr>
        <w:t xml:space="preserve">(далее – комиссия), один гражданин.</w:t>
      </w:r>
    </w:p>
    <w:p>
      <w:pPr>
        <w:pStyle w:val="Normal"/>
        <w:tabs>
          <w:tab w:val="left" w:pos="281" w:leader="none"/>
          <w:tab w:val="left" w:pos="1802" w:leader="none"/>
          <w:tab w:val="left" w:pos="897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от 11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2024 года.</w:t>
      </w:r>
    </w:p>
    <w:p>
      <w:pPr>
        <w:pStyle w:val="UserStyle_2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публичных слушаний предложения и замечания по обсуждаемому проекту не поступали.</w:t>
      </w:r>
    </w:p>
    <w:p>
      <w:pPr>
        <w:pStyle w:val="UserStyle_2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слушаний, предложения и замечания от граждан, постоянно проживающих на территории, в пределах которой проводятся публичные слушания, не поступали.</w:t>
      </w:r>
    </w:p>
    <w:p>
      <w:pPr>
        <w:pStyle w:val="UserStyle_2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слушаний, предложения и замечания по обсуждаемому проекту от иных участников публичных слушаний</w:t>
      </w:r>
      <w:r>
        <w:rPr>
          <w:sz w:val="28"/>
          <w:szCs w:val="28"/>
        </w:rPr>
        <w:t xml:space="preserve"> не поступали</w:t>
      </w:r>
      <w:r>
        <w:rPr>
          <w:sz w:val="28"/>
          <w:szCs w:val="28"/>
        </w:rPr>
        <w:t xml:space="preserve">:</w:t>
      </w:r>
    </w:p>
    <w:p>
      <w:pPr>
        <w:pStyle w:val="UserStyle_2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слушаний, </w:t>
      </w:r>
      <w:r>
        <w:rPr>
          <w:sz w:val="28"/>
          <w:szCs w:val="28"/>
        </w:rPr>
        <w:t xml:space="preserve">от органа государственной власти, которому принадлежит на праве постоянного (бессрочного) пользования смежный земельный участок </w:t>
      </w:r>
      <w:r>
        <w:rPr>
          <w:sz w:val="28"/>
          <w:szCs w:val="28"/>
        </w:rPr>
        <w:t xml:space="preserve">поступил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 необходимости утверждения </w:t>
      </w:r>
      <w:r>
        <w:rPr>
          <w:sz w:val="28"/>
          <w:szCs w:val="28"/>
        </w:rPr>
        <w:t xml:space="preserve">ино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вариант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схемы расположения земельного участка</w:t>
      </w:r>
      <w:r>
        <w:rPr>
          <w:sz w:val="28"/>
          <w:szCs w:val="28"/>
        </w:rPr>
        <w:t xml:space="preserve">, планируемого к использованию в соответствии с условно разрешенным видом «для ведения огородничества»</w:t>
      </w:r>
      <w:r>
        <w:rPr>
          <w:sz w:val="28"/>
          <w:szCs w:val="28"/>
        </w:rPr>
        <w:t xml:space="preserve">, в целях обеспечения мер антитеррористической защищенности объекта.</w:t>
      </w:r>
    </w:p>
    <w:p>
      <w:pPr>
        <w:pStyle w:val="UserStyle_22"/>
        <w:ind w:firstLine="851"/>
        <w:jc w:val="both"/>
      </w:pPr>
      <w:r>
        <w:rPr>
          <w:sz w:val="28"/>
          <w:szCs w:val="28"/>
        </w:rPr>
      </w:r>
    </w:p>
    <w:p>
      <w:pPr>
        <w:pStyle w:val="UserStyle_2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организатора публичных слушаний:</w:t>
      </w:r>
    </w:p>
    <w:p>
      <w:pPr>
        <w:pStyle w:val="UserStyle_2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5.1, ст. 39 Градостроительного кодекса Российской Федерации, Уставом Петровского городского округа Ставропольского края,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>
      <w:pPr>
        <w:pStyle w:val="UserStyle_2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в</w:t>
      </w:r>
      <w:r>
        <w:rPr>
          <w:sz w:val="28"/>
          <w:szCs w:val="28"/>
        </w:rPr>
        <w:t xml:space="preserve">озражения </w:t>
      </w:r>
      <w:r>
        <w:rPr>
          <w:sz w:val="28"/>
          <w:szCs w:val="28"/>
        </w:rPr>
        <w:t xml:space="preserve">собственников смежных земельных участков </w:t>
      </w:r>
      <w:r>
        <w:rPr>
          <w:sz w:val="28"/>
          <w:szCs w:val="28"/>
        </w:rPr>
        <w:t xml:space="preserve">являются средством реализации предоставленных им законом прав при принятии градостроительных решений.</w:t>
      </w:r>
    </w:p>
    <w:p>
      <w:pPr>
        <w:pStyle w:val="UserStyle_2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поступившим</w:t>
      </w:r>
      <w:r>
        <w:rPr>
          <w:sz w:val="28"/>
          <w:szCs w:val="28"/>
        </w:rPr>
        <w:t xml:space="preserve"> в период проведения публичных слушаний </w:t>
      </w:r>
      <w:r>
        <w:rPr>
          <w:sz w:val="28"/>
          <w:szCs w:val="28"/>
        </w:rPr>
        <w:t xml:space="preserve">предложением</w:t>
      </w:r>
      <w:r>
        <w:rPr>
          <w:sz w:val="28"/>
          <w:szCs w:val="28"/>
        </w:rPr>
        <w:t xml:space="preserve"> собственника смежного земельного участка </w:t>
      </w:r>
      <w:r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 xml:space="preserve">предоставлени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  условно разрешенный вид использования «ведение огородничества (код 13.1)» земельного участка из земель населенных пунктов площадью 874 кв.м, с условным номером 26:08:040515:ЗУ1, по адресу: Российская Федерация, Ставропольский край, Петровский муниципальный округ, г. Светлоград, ул. Почтовая, з/у 13а</w:t>
      </w:r>
      <w:r>
        <w:rPr>
          <w:sz w:val="28"/>
          <w:szCs w:val="28"/>
        </w:rPr>
        <w:t xml:space="preserve"> (далее – земельный участок)</w:t>
      </w:r>
      <w:r>
        <w:rPr>
          <w:sz w:val="28"/>
          <w:szCs w:val="28"/>
        </w:rPr>
        <w:t xml:space="preserve">, подлежащего образованию на основании схемы расположения земельного участка или земельных участков на кадастровом плане территории, утвержденной постановлением администрации Петровского муниципального округа Ставропольского края от 03 мая 2024 г. № 773, комиссией принято решение об отказе в одобрении проекта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874 кв.м, с условным номером 26:08:040515:ЗУ1, по адресу: Российская Федерация, Ставропольский край, Петровский муниципальный округ, г. Светлоград, ул. Почтовая, з/у 13а» и направлении главе Петровского муниципального округа Ставропольского края рекомендаций об отказе в предоставлении разрешение на  условно разрешенный вид использования «ведение огородничества (код 13.1)» земельного участка.</w:t>
      </w:r>
    </w:p>
    <w:p>
      <w:pPr>
        <w:pStyle w:val="UserStyle_2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Заместитель председателя комиссии                         __________ Г.П. Русанова</w:t>
      </w:r>
    </w:p>
    <w:p>
      <w:pPr>
        <w:pStyle w:val="UserStyle_2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top="1134" w:right="567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ExpandShiftReturn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tabs>
        <w:tab w:val="left" w:pos="432" w:leader="none"/>
      </w:tabs>
      <w:outlineLvl w:val="0"/>
    </w:pPr>
    <w:rPr>
      <w:rFonts w:cs="Calibri"/>
      <w:sz w:val="28"/>
      <w:lang w:eastAsia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1"/>
    <w:next w:val="UserStyle_0"/>
    <w:link w:val="Normal"/>
  </w:style>
  <w:style w:type="character" w:styleId="UserStyle_1">
    <w:name w:val="Заголовок 1 Знак"/>
    <w:next w:val="UserStyle_1"/>
    <w:link w:val="Normal"/>
    <w:rPr>
      <w:rFonts w:ascii="Times New Roman" w:hAnsi="Times New Roman" w:eastAsia="Times New Roman" w:cs="Calibri"/>
      <w:sz w:val="28"/>
      <w:szCs w:val="24"/>
      <w:lang w:eastAsia="ar-SA"/>
    </w:rPr>
  </w:style>
  <w:style w:type="character" w:styleId="UserStyle_2">
    <w:name w:val="Текст выноски Знак"/>
    <w:next w:val="UserStyle_2"/>
    <w:link w:val="Normal"/>
    <w:rPr>
      <w:rFonts w:ascii="Segoe UI" w:hAnsi="Segoe UI" w:eastAsia="Times New Roman" w:cs="Segoe UI"/>
      <w:sz w:val="18"/>
      <w:szCs w:val="18"/>
      <w:lang w:eastAsia="ru-RU"/>
    </w:rPr>
  </w:style>
  <w:style w:type="character" w:styleId="UserStyle_3">
    <w:name w:val="Верхний колонтитул Знак"/>
    <w:next w:val="UserStyle_3"/>
    <w:link w:val="Normal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UserStyle_4">
    <w:name w:val="Нижний колонтитул Знак"/>
    <w:next w:val="UserStyle_4"/>
    <w:link w:val="Normal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UserStyle_5">
    <w:name w:val="ListLabel 9"/>
    <w:next w:val="UserStyle_5"/>
    <w:link w:val="Normal"/>
  </w:style>
  <w:style w:type="character" w:styleId="UserStyle_6">
    <w:name w:val="ListLabel 8"/>
    <w:next w:val="UserStyle_6"/>
    <w:link w:val="Normal"/>
  </w:style>
  <w:style w:type="character" w:styleId="UserStyle_7">
    <w:name w:val="ListLabel 7"/>
    <w:next w:val="UserStyle_7"/>
    <w:link w:val="Normal"/>
  </w:style>
  <w:style w:type="character" w:styleId="UserStyle_8">
    <w:name w:val="ListLabel 6"/>
    <w:next w:val="UserStyle_8"/>
    <w:link w:val="Normal"/>
  </w:style>
  <w:style w:type="character" w:styleId="UserStyle_9">
    <w:name w:val="ListLabel 5"/>
    <w:next w:val="UserStyle_9"/>
    <w:link w:val="Normal"/>
  </w:style>
  <w:style w:type="character" w:styleId="UserStyle_10">
    <w:name w:val="ListLabel 4"/>
    <w:next w:val="UserStyle_10"/>
    <w:link w:val="Normal"/>
  </w:style>
  <w:style w:type="character" w:styleId="UserStyle_11">
    <w:name w:val="ListLabel 3"/>
    <w:next w:val="UserStyle_11"/>
    <w:link w:val="Normal"/>
  </w:style>
  <w:style w:type="character" w:styleId="UserStyle_12">
    <w:name w:val="ListLabel 2"/>
    <w:next w:val="UserStyle_12"/>
    <w:link w:val="Normal"/>
  </w:style>
  <w:style w:type="character" w:styleId="UserStyle_13">
    <w:name w:val="ListLabel 1"/>
    <w:next w:val="UserStyle_13"/>
    <w:link w:val="Normal"/>
  </w:style>
  <w:style w:type="character" w:styleId="UserStyle_14">
    <w:name w:val="Default Paragraph Font"/>
    <w:next w:val="UserStyle_14"/>
    <w:link w:val="Normal"/>
  </w:style>
  <w:style w:type="paragraph" w:styleId="UserStyle_15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6">
    <w:name w:val="Указатель1"/>
    <w:basedOn w:val="Normal"/>
    <w:next w:val="UserStyle_16"/>
    <w:link w:val="Normal"/>
    <w:pPr>
      <w:suppressLineNumbers/>
    </w:pPr>
    <w:rPr>
      <w:rFonts w:cs="Droid Sans Devanagari"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Segoe UI"/>
      <w:sz w:val="18"/>
      <w:szCs w:val="18"/>
    </w:rPr>
  </w:style>
  <w:style w:type="paragraph" w:styleId="UserStyle_17">
    <w:name w:val="Колонтитул"/>
    <w:basedOn w:val="Normal"/>
    <w:next w:val="UserStyle_17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HtmlNormal">
    <w:name w:val="Обычный (веб)"/>
    <w:basedOn w:val="Normal"/>
    <w:next w:val="HtmlNormal"/>
    <w:link w:val="Normal"/>
    <w:pPr>
      <w:spacing w:before="100" w:after="100"/>
    </w:pPr>
  </w:style>
  <w:style w:type="paragraph" w:styleId="UserStyle_18">
    <w:name w:val="ConsTitle"/>
    <w:next w:val="UserStyle_18"/>
    <w:link w:val="Normal"/>
    <w:pPr>
      <w:widowControl w:val="off"/>
    </w:pPr>
    <w:rPr>
      <w:rFonts w:ascii="Arial" w:hAnsi="Arial" w:cs="Arial"/>
      <w:b/>
      <w:sz w:val="16"/>
      <w:lang w:val="ru-RU" w:eastAsia="ru-RU" w:bidi="ar-SA"/>
    </w:rPr>
  </w:style>
  <w:style w:type="paragraph" w:styleId="UserStyle_19">
    <w:name w:val="ConsNonformat"/>
    <w:next w:val="UserStyle_19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">
    <w:name w:val="Без интервала"/>
    <w:next w:val="User"/>
    <w:link w:val="Normal"/>
    <w:uiPriority w:val="1"/>
    <w:qFormat/>
    <w:rPr>
      <w:sz w:val="24"/>
      <w:szCs w:val="24"/>
      <w:lang w:val="ru-RU" w:eastAsia="ru-RU" w:bidi="ar-SA"/>
    </w:rPr>
  </w:style>
  <w:style w:type="paragraph" w:styleId="UserStyle_20">
    <w:name w:val="Normal (Web)"/>
    <w:basedOn w:val="Normal"/>
    <w:next w:val="UserStyle_20"/>
    <w:link w:val="Normal"/>
    <w:pPr>
      <w:spacing w:before="280" w:after="280"/>
    </w:pPr>
  </w:style>
  <w:style w:type="paragraph" w:styleId="UserStyle_21">
    <w:name w:val="Balloon Text"/>
    <w:basedOn w:val="Normal"/>
    <w:next w:val="UserStyle_21"/>
    <w:link w:val="Normal"/>
    <w:rPr>
      <w:rFonts w:ascii="Segoe UI" w:hAnsi="Segoe UI" w:cs="Segoe UI"/>
      <w:sz w:val="18"/>
      <w:szCs w:val="18"/>
    </w:rPr>
  </w:style>
  <w:style w:type="paragraph" w:styleId="UserStyle_22">
    <w:name w:val="No Spacing"/>
    <w:next w:val="UserStyle_22"/>
    <w:link w:val="Normal"/>
    <w:rPr>
      <w:sz w:val="24"/>
      <w:szCs w:val="24"/>
      <w:lang w:val="ru-RU" w:eastAsia="ru-RU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4135</Characters>
  <CharactersWithSpaces>4851</CharactersWithSpaces>
  <DocSecurity>0</DocSecurity>
  <HyperlinksChanged>false</HyperlinksChanged>
  <Lines>34</Lines>
  <Pages>2</Pages>
  <Paragraphs>9</Paragraphs>
  <ScaleCrop>false</ScaleCrop>
  <SharedDoc>false</SharedDoc>
  <Template>Normal.dotm</Template>
  <Words>725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Лампочкин Василий</cp:lastModifiedBy>
  <cp:revision>6</cp:revision>
  <dcterms:created xsi:type="dcterms:W3CDTF">2023-11-02T10:18:00Z</dcterms:created>
  <dcterms:modified xsi:type="dcterms:W3CDTF">2024-06-13T13:07:00Z</dcterms:modified>
  <cp:version>983040</cp:version>
</cp:coreProperties>
</file>