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1F" w:rsidRDefault="00A46BB8">
      <w:pPr>
        <w:suppressAutoHyphens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5A021F" w:rsidRDefault="005A021F">
      <w:pPr>
        <w:suppressAutoHyphens w:val="0"/>
        <w:spacing w:after="0" w:line="283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21F" w:rsidRDefault="00A46BB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5A021F" w:rsidRDefault="00A46BB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5A021F" w:rsidRDefault="005A021F">
      <w:pPr>
        <w:spacing w:after="0" w:line="283" w:lineRule="exact"/>
        <w:jc w:val="center"/>
        <w:rPr>
          <w:rFonts w:ascii="Tinos" w:eastAsia="Times New Roman" w:hAnsi="Tinos" w:cs="Times New Roman"/>
          <w:bCs/>
          <w:color w:val="000000"/>
          <w:sz w:val="28"/>
          <w:szCs w:val="28"/>
          <w:lang w:eastAsia="ru-RU"/>
        </w:rPr>
      </w:pPr>
    </w:p>
    <w:p w:rsidR="005A021F" w:rsidRDefault="005A021F">
      <w:pPr>
        <w:spacing w:after="0" w:line="283" w:lineRule="exact"/>
        <w:jc w:val="center"/>
        <w:rPr>
          <w:rFonts w:ascii="Tinos" w:eastAsia="Times New Roman" w:hAnsi="Tinos" w:cs="Times New Roman"/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5A021F">
        <w:tc>
          <w:tcPr>
            <w:tcW w:w="3063" w:type="dxa"/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  <w:t>17 марта 2023 г.</w:t>
            </w:r>
          </w:p>
        </w:tc>
        <w:tc>
          <w:tcPr>
            <w:tcW w:w="3169" w:type="dxa"/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4" w:type="dxa"/>
          </w:tcPr>
          <w:p w:rsidR="005A021F" w:rsidRDefault="00A46BB8">
            <w:pPr>
              <w:widowControl w:val="0"/>
              <w:spacing w:after="0" w:line="240" w:lineRule="auto"/>
              <w:jc w:val="right"/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nos" w:eastAsia="Times New Roman" w:hAnsi="Tinos" w:cs="Times New Roman"/>
                <w:bCs/>
                <w:color w:val="000000"/>
                <w:sz w:val="24"/>
                <w:szCs w:val="24"/>
                <w:lang w:eastAsia="ru-RU"/>
              </w:rPr>
              <w:t>№ 106-р</w:t>
            </w:r>
          </w:p>
        </w:tc>
      </w:tr>
    </w:tbl>
    <w:p w:rsidR="005A021F" w:rsidRDefault="005A021F">
      <w:pPr>
        <w:spacing w:after="0" w:line="283" w:lineRule="exact"/>
        <w:jc w:val="center"/>
        <w:rPr>
          <w:rFonts w:ascii="Tinos" w:hAnsi="Tinos" w:cs="Times New Roman"/>
          <w:bCs/>
          <w:color w:val="000000"/>
          <w:sz w:val="28"/>
          <w:szCs w:val="28"/>
        </w:rPr>
      </w:pPr>
    </w:p>
    <w:p w:rsidR="005A021F" w:rsidRDefault="005A021F">
      <w:pPr>
        <w:spacing w:after="0" w:line="283" w:lineRule="exact"/>
        <w:jc w:val="center"/>
        <w:rPr>
          <w:rFonts w:ascii="Tinos" w:hAnsi="Tinos" w:cs="Times New Roman"/>
          <w:bCs/>
          <w:color w:val="000000"/>
          <w:sz w:val="28"/>
          <w:szCs w:val="28"/>
        </w:rPr>
      </w:pPr>
    </w:p>
    <w:p w:rsidR="005A021F" w:rsidRDefault="00A46BB8">
      <w:pPr>
        <w:spacing w:after="0" w:line="240" w:lineRule="exact"/>
        <w:jc w:val="both"/>
        <w:rPr>
          <w:rFonts w:ascii="Times New Roman" w:hAnsi="Times New Roman"/>
        </w:rPr>
      </w:pPr>
      <w:bookmarkStart w:id="1" w:name="_Hlk17966196"/>
      <w:r>
        <w:rPr>
          <w:rFonts w:ascii="Times New Roman" w:hAnsi="Times New Roman"/>
          <w:color w:val="000000"/>
          <w:sz w:val="28"/>
          <w:szCs w:val="28"/>
          <w:lang w:eastAsia="ru-RU"/>
        </w:rPr>
        <w:t>О некоторых мерах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(антимонопольного комплаенса)</w:t>
      </w:r>
      <w:bookmarkEnd w:id="1"/>
    </w:p>
    <w:p w:rsidR="005A021F" w:rsidRDefault="005A02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021F" w:rsidRDefault="005A02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021F" w:rsidRDefault="005A02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021F" w:rsidRDefault="00A46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распоряжением Правительства Российско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приказом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с пунктом 5.4 и пунктом 7.5.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оложения 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комплаенс), утвержденным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ровского городского округа Ставропольского края от 06 февраля 2020 г. № 146 (в редакции                      от 24 июня 2022 г. № 997)</w:t>
      </w:r>
    </w:p>
    <w:p w:rsidR="005A021F" w:rsidRDefault="005A02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21F" w:rsidRDefault="005A02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21F" w:rsidRDefault="00A46BB8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5A021F" w:rsidRDefault="00A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Карту комплаенс-рисков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2023 год. </w:t>
      </w:r>
    </w:p>
    <w:p w:rsidR="005A021F" w:rsidRDefault="00A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bookmarkStart w:id="2" w:name="_Hlk32245380"/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6">
        <w:r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антимонопольного комплаенса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2023 год.</w:t>
      </w:r>
    </w:p>
    <w:p w:rsidR="005A021F" w:rsidRDefault="005A0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21F" w:rsidRDefault="00A4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выполнением настоящего распоряжения оставляю за собой</w:t>
      </w:r>
    </w:p>
    <w:p w:rsidR="005A021F" w:rsidRDefault="005A0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1F" w:rsidRDefault="005A0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1F" w:rsidRDefault="005A0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1F" w:rsidRDefault="00A46BB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распоряжение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некоторых мерах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системы внутреннего обеспечения соответствия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антимонопольного законодательства в администрации Петровского городского округа Ставропольского края (антимонопольного комплаенса)</w:t>
      </w:r>
      <w:r>
        <w:rPr>
          <w:rFonts w:ascii="Times New Roman" w:hAnsi="Times New Roman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подписания.</w:t>
      </w:r>
    </w:p>
    <w:p w:rsidR="005A021F" w:rsidRDefault="005A0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1F" w:rsidRDefault="005A0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1F" w:rsidRDefault="00A46B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5A021F" w:rsidRDefault="00A46B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5A021F" w:rsidRDefault="00A46B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5A021F" w:rsidRDefault="00A46B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A021F" w:rsidRDefault="00A46BB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В.П.Сухомлинова</w:t>
      </w:r>
    </w:p>
    <w:p w:rsidR="005A021F" w:rsidRDefault="005A021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1F" w:rsidRDefault="005A021F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A021F" w:rsidRDefault="00A46BB8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</w:t>
      </w:r>
    </w:p>
    <w:p w:rsidR="005A021F" w:rsidRDefault="00A46BB8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A021F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</w:t>
      </w:r>
    </w:p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10065"/>
        <w:gridCol w:w="4536"/>
      </w:tblGrid>
      <w:tr w:rsidR="005A021F">
        <w:tc>
          <w:tcPr>
            <w:tcW w:w="10064" w:type="dxa"/>
          </w:tcPr>
          <w:p w:rsidR="005A021F" w:rsidRDefault="005A021F">
            <w:pPr>
              <w:widowControl w:val="0"/>
              <w:spacing w:after="0"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021F" w:rsidRDefault="00A46BB8">
            <w:pPr>
              <w:widowControl w:val="0"/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</w:tc>
      </w:tr>
      <w:tr w:rsidR="005A021F">
        <w:tc>
          <w:tcPr>
            <w:tcW w:w="10064" w:type="dxa"/>
          </w:tcPr>
          <w:p w:rsidR="005A021F" w:rsidRDefault="005A021F">
            <w:pPr>
              <w:widowControl w:val="0"/>
              <w:spacing w:after="0"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021F" w:rsidRDefault="00A46BB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Петровского городского округа Ставропольского края</w:t>
            </w:r>
          </w:p>
        </w:tc>
      </w:tr>
      <w:tr w:rsidR="005A021F">
        <w:tc>
          <w:tcPr>
            <w:tcW w:w="10064" w:type="dxa"/>
          </w:tcPr>
          <w:p w:rsidR="005A021F" w:rsidRDefault="005A021F">
            <w:pPr>
              <w:widowControl w:val="0"/>
              <w:spacing w:after="0" w:line="240" w:lineRule="exact"/>
              <w:rPr>
                <w:rFonts w:ascii="Tinos" w:hAnsi="Tinos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021F" w:rsidRDefault="00A46BB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17 марта 2023 г. № 106-р</w:t>
            </w:r>
          </w:p>
        </w:tc>
      </w:tr>
    </w:tbl>
    <w:p w:rsidR="005A021F" w:rsidRDefault="005A021F">
      <w:pPr>
        <w:spacing w:after="0" w:line="240" w:lineRule="exact"/>
        <w:outlineLvl w:val="2"/>
        <w:rPr>
          <w:rFonts w:ascii="Tinos" w:eastAsia="Times New Roman" w:hAnsi="Tinos"/>
          <w:color w:val="000000"/>
          <w:sz w:val="28"/>
          <w:szCs w:val="28"/>
          <w:lang w:eastAsia="ru-RU"/>
        </w:rPr>
      </w:pPr>
    </w:p>
    <w:p w:rsidR="005A021F" w:rsidRDefault="00A46BB8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КАРТА</w:t>
      </w:r>
    </w:p>
    <w:p w:rsidR="005A021F" w:rsidRDefault="00A46BB8">
      <w:pPr>
        <w:spacing w:after="0" w:line="240" w:lineRule="auto"/>
        <w:ind w:firstLine="709"/>
        <w:jc w:val="center"/>
      </w:pPr>
      <w:r>
        <w:rPr>
          <w:rFonts w:ascii="Times New Roman" w:hAnsi="Times New Roman"/>
          <w:color w:val="000000"/>
          <w:sz w:val="28"/>
          <w:szCs w:val="28"/>
        </w:rPr>
        <w:t>комплаенс-рисков администрации Петровского городского округа Ставропольского края на 2023 год</w:t>
      </w:r>
    </w:p>
    <w:p w:rsidR="005A021F" w:rsidRDefault="005A021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379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725"/>
        <w:gridCol w:w="2275"/>
        <w:gridCol w:w="2272"/>
        <w:gridCol w:w="2273"/>
        <w:gridCol w:w="3005"/>
        <w:gridCol w:w="1690"/>
        <w:gridCol w:w="2139"/>
      </w:tblGrid>
      <w:tr w:rsidR="005A021F">
        <w:trPr>
          <w:trHeight w:val="4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021F" w:rsidRDefault="00A46BB8">
            <w:pPr>
              <w:widowControl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5A021F" w:rsidRDefault="005A021F">
            <w:pPr>
              <w:widowControl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возникновения рисков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5A021F">
        <w:trPr>
          <w:trHeight w:val="401"/>
        </w:trPr>
        <w:tc>
          <w:tcPr>
            <w:tcW w:w="143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Низкий уровень риска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tabs>
                <w:tab w:val="left" w:pos="2578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Возникновение конфликта интересов в деятельности муниципальных служащих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Петровского городского округа Ставропольского края (далее — муниципальные служащие, администрация)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Недостаточный уровень знаний муниципальных служащих законодательства о муниципальной службе и противодействии коррупции.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Личная заинтерес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ованность муниципальных служащих.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Несоблюдение муниципальными служащими  обязанности по принятию мер по предотвращению и урегулированию конфликта интересов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Федерального закона от 26.07.2006 № 135-ФЗ «О защите конкуренции»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законодательства Российской Федерации о противодействии коррупции.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ind w:righ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принятие нормативных правовых актов (далее - НПА),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соглашений, договоров,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привести к нарушению антимонопольного законодательства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НПА, соглашений, договоров содержащих положения,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влекущие нарушения антимонопольного законодательства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Недостаточный уровень юридической экспертизы и анализа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НПА, соглашений,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ротоколов на соответствие требований антимонопольного законодательства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 Федерального закона от 26.07.2006             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Усиление внутреннего контроля за разработкой НПА, соглашений, договоро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правовой и антикоррупционной экспертизы НПА и проектов нормативных правовых актов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заключений о соответствии федеральному и региональному законодательству НПА и проекта нормативного правового акта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алее - проект НПА), содержащих коррупциогенные факторы.</w:t>
            </w:r>
          </w:p>
          <w:p w:rsidR="005A021F" w:rsidRDefault="00A46BB8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Непредставление НПА и проектов НПА, содержащих коррупциогенные факторы, на антикоррупционную экспертизу.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Недостаточная координация процесса подготовки и направления НПА и проектов НПА ответственным структурным подразделением на антикоррупционную экспертизу.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Повышение уровня квалификации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Четкая регламен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порядка, способа и сроков совершения действий муниципальными служащими при разработке НПА.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Информирование населения о возможности участия в проведении независимой антикоррупционной экспертизы проектов НПА.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Усиление внутреннего контроля за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дением правовой и антикоррупционной экспертизы НПА и проектов НПА и оценки соответствия их положений требованиям антимонопольного законодательства.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2888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ответов на обращение граждан, юридических лиц, содержащих коррупцио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ногенные факторы, необоснованные преимущества граждан, юридических лиц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порядков и сроков подготовки ответов по вопросам применения норм антимонопольного законодательства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Ненадлежащее осуществление контроля.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 Федерального закона от 02.05.2006              № 59-ФЗ «</w:t>
            </w:r>
            <w:r>
              <w:rPr>
                <w:rFonts w:ascii="Times New Roman" w:hAnsi="Times New Roman"/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Четкая регламентация порядка, способа и сроков совершения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муниципальными служащими необходимых для подготовки ответов на обращения граждан, юридических лиц.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Исключение необходимости личного взаимодействия (общения) должностных лиц с гражданами и юридическими лицами.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Усиление внутреннего контроля.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и законных интересов администрации в судах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Ошибочное применение муниципальными служащими норм антимонопольного законодательства.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знаний антимонопольного законодательства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уровня квалификации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Ведение отчетности по результатам рассмотренных дел в суде.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Исключение необходимости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ичного взаимодействия (общения)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 с гражданами и юридическими лицами.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Усиление внутреннего контроля.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порядка проверки инвестиционных проектов на предмет эффективности (неэффективности)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направляемых на капитальные вложения средств бюджета Петровского городского округа Ставропольского края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Неверная (субъективная) оценка проекта по установленным критериям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Отсутствие достаточной квалификации у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Несоблюдение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оценки эффективности использования средств бюджета Петровского городского округа Ставропольского края, направляемых на капитальные вложения.</w:t>
            </w:r>
          </w:p>
          <w:p w:rsidR="005A021F" w:rsidRDefault="005A021F">
            <w:pPr>
              <w:pStyle w:val="ae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 постановления администрации Петровского городского округа Ставропольского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 от 07.09.2018 № 1586  «Об утверждении Порядка проведения проверки инвестиционных проектов, финансирование которых планируется осуществить полностью или частично за счет средств бюджета Петровского городского округа Ставропольского края, на предмет эф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фективности использования средств бюджета Петровского городского округа Ставропольского края, направляемых на капитальные вложения».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установленных сроков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процедуры, включенной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кодекса Российской Федерации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сроков: - утверждения проекта планировки территории и проекта межевания территории;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выдачи разрешения </w:t>
            </w:r>
            <w:r>
              <w:rPr>
                <w:rFonts w:ascii="Times New Roman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объекта капитального ст</w:t>
            </w:r>
            <w:r>
              <w:rPr>
                <w:rFonts w:ascii="Times New Roman" w:hAnsi="Times New Roman"/>
                <w:sz w:val="24"/>
                <w:szCs w:val="24"/>
              </w:rPr>
              <w:t>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выдачи градостроительного плана земельного участка;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выдачи разрешения на строительство;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выдачи уведомления о соответствии (не соответствии) указанных в уведомлении о планируемом строительстве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объекта индивидуального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выдачи постановления о присвоения адреса объекту адресации;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выдачи разрешения на ввод объекта капитального строительства в эксплуатацию;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выдачи уведомления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(не соответствии) построенных или реконструированных объектов индивидуального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лищного строительства или садового дома требованиям законодательства о градостроительной деятельности.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Несоблюдение требований Градостроительного кодекса Российской Федерации.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исполнительской дисциплины муниципальными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Градостроительного кодекса Российской Федерации;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19.11.2014 № 1221 «Об утверждении Правил присвоения,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и аннулирования адресов»;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25.12.2021 № 2490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строительству объекта капитального строительства, и признании утратившими силу некоторых а</w:t>
            </w:r>
            <w:r>
              <w:rPr>
                <w:rFonts w:ascii="Times New Roman" w:hAnsi="Times New Roman"/>
                <w:sz w:val="24"/>
                <w:szCs w:val="24"/>
              </w:rPr>
              <w:t>ктов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требований осуществить процедуру, не включенную в исчерпывающий Перечень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 Градостроительного кодекса Российской Федерации, утвержденный 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Правительства Российской Федерации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Незаконные требования составу документов, сведений, материалов, согласований, необходимых для получения проекта планировки территории и проекта межевания территории, нарушение сроков выдачи разрешения на отклонение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предельных параметров разрешенного строительства, реконструкции,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выдачи градостроительного плана земельного участка, выдачи разрешения на строительство, выдачи уведомления о соответствии (не соответствии) указанных в уведомлении о планируемом строительстве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садового дома на земельном участке, выдачи постановления о присвоения адреса объекту капитального строительства, выдачи разрешения на ввод объекта в эксплуатацию, выдачи уведомление о соответствии (не соответствии) построенных или реконструированн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Несоблюдение требований Градостроительного кодекса Российской Федерации.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исполнительской дисциплины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Градостроительного кодекса Российской Федерации;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19.11.2014 № 1221 «Об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 присвоения, изменения и аннулирования адресов»;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25.12.2021 № 2490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исчерпывающего перечня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сведений, материалов, согласований, предусмотренных нормативными правовыми а</w:t>
            </w:r>
            <w:r>
              <w:rPr>
                <w:rFonts w:ascii="Times New Roman" w:hAnsi="Times New Roman"/>
                <w:sz w:val="24"/>
                <w:szCs w:val="24"/>
              </w:rPr>
              <w:t>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силу некоторых актов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143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pStyle w:val="ae"/>
              <w:widowControl w:val="0"/>
              <w:spacing w:after="0" w:line="240" w:lineRule="auto"/>
              <w:ind w:left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 Незначительный уровень риска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необоснованных преимуществ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хозяйствующему субъекту в рамках подведения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 по организованному проведению уборки урожая зерновых культур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конкретному хозяйствующему субъекту преимущественных условий участия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соревновании путем установления/не установления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соревнования в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Нарушение порядка признания победителя соревнования.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Не соблюдение муниципальными служащими НПА, регулирующих порядок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Публичные заявления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олжностных лиц, официальные письма администрации, создающие необоснованные конкурентные преимущества на рынке конкретному хозяйствующему субъекту.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Ненадлежащее осуществление контроля за процедурой проведения соревнования.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от 26.07.2006 № 135-ФЗ «О защите конкуренции».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муниципальными служащими администрации правого акта, регулирующего  порядок проведения соревнования.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Повышение уровня квалификации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Исключение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нфликта интересов у сотрудников, занятых в организации соревнования.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неполного перечня инвестиционных площадок заинтересованным лицам – субъектам инвестиционной деятельности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неполной информации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инвестиционных площадках, расположенных на территории Петровского городского округа Ставропольского края (далее - округ)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Неполная либо искаженная информация, поступившая от заявителя, о требованиях, предъявляемых к инвестиционной площадке.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Отказ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ственников земельных участков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имущественных комплексов в предоставлении сведений об инвестиционной площадке.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ородского округа Ставропольского края от 20.08.2018 № 1467 «Об утверждении Порядка прохождения административных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 и схем взаимодействия администрации Петровского городского округа Ставропольского края и инвесторов в сфере земельных отношений и строи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Петровском городском округе Ставропольского края».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 незаконного осуществления либо отказ в осуществлении муниципального контроля, нарушение срока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 контроля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Недостаточный уровень текущего контроля.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Нарушение порядка и сроков осуществления муниципального контроля.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 соблюдение муниципальными служащими НПА, регулирующих порядок осуществления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Ненадлежащее осуществление контроля за процедурой осуществления муниципального контроля.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достаточной квалификации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Соблюдение норм Федерального закона от 26.07.2006 № 135-ФЗ «О защите конкуренции».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муниципальными служащими администрации НПА, регулирующих порядок осуществления муниципального контроля.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уровня квалификации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Исключение конфликта интересов у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занятых 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муниципального контроля.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143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Существенный уровень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оказания муниципальных (государственных) услуг, затягивание (препятствие) процедуры предоставления муниципальных (государственных) услуг, запрос недопустимых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или сведений, необоснованный отказ в предоставлении муниципальных (государственных) услуг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Недостаточный уровень текущего контроля.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Предоставление заявителем неполной либо искаженной информации для получения результата заявленной услуги.</w:t>
            </w:r>
          </w:p>
          <w:p w:rsidR="005A021F" w:rsidRDefault="005A021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 соблюдение муниципальными служащими НПА, регулирующих порядок предоставления муниципальных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Нарушение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исполнительской дисциплины муниципальными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 Федерального закона от 26.07.2006 № 135-ФЗ «О защите конкуренции».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Осуществление текущего контроля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(государственных)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изменений законодательства, регламентирующего порядок предоставления государственных услуг.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Ограничение конкуренции при рассмотрении предложений частных партнеров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реализации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муниципально-частного партнерства (далее - проект МЧП), а также предложений лиц, выступающих с инициативой заключения концессионного соглашения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Низкая степень проработки проекта МЧП или предложения о заключении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концессионного предложения отделом или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рганом администрации, обеспечивающим проведение на территории округа государственной политики и осуществляющим управление в соответствующей сфере деятельности в которой планируется реализация проекта МЧП и (или) концессионного соглашения, которая может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к ограничению конкуренции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Нарушение порядков: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разработки, рассмотрения и согласования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 МЧП;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рассмотрения предложений лиц, выступающих с инициативой заключения концессионного соглашения.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Низкая степень проработки проекта МЧП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о заключении концессионного предложения, не позволяющая сделать вывод об его эффективности и (или) оценить его сравнительное преимущество.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Предоставление заведомо ложных сведений инициатором.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Федерального закона от 21.07.2005 № 115-ФЗ «О концессионных соглашениях»;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13.07.2015 № 224-ФЗ «О государственно-частном партнерстве, муниципально-частном партнерстве в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Федерации и внесении изменений в отдельные законодательные акты Российской Федерации».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 счет средств бюджета Ставропольского края грантов в форме 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гражданам, ведущим 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подсобные хозяйства, на закладку сада суперинтенсивного типа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сроков размещения документации о проведении конкурсного отбора.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доступа или доступ в приоритетном порядке конкретному хозяйств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ующему субъекту к информации о конкурсном отборе.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Создание конкретному хозяйствующему субъекту преимущественных условий участия в конкурсном отборе путем установления/не установления требований к участникам конкурсного отбора не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Нарушение порядка признания победителя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конкурсного отбора.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 грантов.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контроля за процедурой предоставления грантов.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грантов.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закона Ставропольского края от 31.12.2004             № 119-кз «О наделении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муниципальных образований в Ставропольском крае отдельными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осударственными полномочиями Ставропольского края в области сельского хозяйства»;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Правительства Ставропольского края от 29.01.2018 № 38-п «Об утверждении Порядка предоставления за счет средств бюджета Ставропольского края грантов в форме 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бсидий, гражданам, ведущим личные подсобные хозяйства, на закладку сада суперинтенсивного типа»;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городского округа Ставропольского края от 24.09.2019 № 1948 «Об утверждении административного регламента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администрацией Петровского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типа».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7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по муниципальным маршрутам регулярных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перевозок (нерегулируемые тарифы) в соответствии с действующим законодательством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сроков размещения документации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оведении открытого конкурса.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конкретному хозяйствующему субъекту к информации об открытом конкурсе.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конкурсе путем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становления/не установления требований к участникам конкурса в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конкурса.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людение муниципальными служащими НПА, регулирующих порядок предоставления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контроля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процедурой предоставления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Федерального закона от 13.07.2015 № 220-ФЗ «Об организации регулярных перевозок пассажиров и багажа автомобильным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транспортом и городским наземным электрическим транспортом в Российской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 и о внесении изменений в отдельные законодательные акты Российской Федерации»;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городского округа Ставропольского края от 08.05.2019 № 1042 «Об утверждении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Положения о проведении открытого конкурса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получения свидетельств об осуществлении перевозок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одному или нескольким муниципальным маршрутам регулярных перевозок по нерегулируемым тарифам на территории Петровского городского округа Ставропольского края».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Исключение конфликта интересов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права заключения договоров на установку и эксплуатацию рекламных конструкций на земельном участке, здании или ином недвижимом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имуществе, находящимся в муниципальной собственности, а также на земельных участках, государственная собственность на которые не разграничена, в соответствии с действующим законодательством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 торгах путем установления/не установления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 к участникам торгов в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заявителем неполной либо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торгов.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НПА, регулирующих порядок предоставления муниципальных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Нарушение исполнительской дисциплины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 служащими.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13.03.2006 № 38-ФЗ «О рекламе»;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решения Совета депутатов Петровского городского округа Ставропольског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края от 15.06.2018 № 81 «О некоторых вопросах, связанных с проведением торгов на право заключения договоров на установку и эксплуатацию рекламных конструкций»;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19.03.2020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393 «Об организации работы по проведению аукционов на право заключения договоров на установку и эксплуатацию рекламных конструкций на земельном участке, здании или ином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недвижимом имуществе, находящемся в муниципальной собственности Петровского 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округа Ставропольского края, а также на земельных участках, государственная собственность на которые не разграничена»;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28.06.2018 № 1048 «Об утверждении административног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регламента по предоставлению администрацией Петровского городского округа Ставропольского края муниципальной услуги «Выдача разрешения на установку и эксплуатацию рекламных конструкций».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Исключе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конфликта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интересов у муниципальных служащих.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муниципальных контрактов на поставку товаров, работ, услуг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Заключение муниципальных контрактов по завышенным ценам в пользу поставщиков, исполнителей, подрядчиков;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Заключение муниципальных контрактов в отсутствии денежных средств.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Отсутствие достаточной квалификации сотрудников;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Недостаточный уровень текущего контроля закупочной деятельности;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Недостаточное взаимодействие сотрудников, ответственных за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отовку и обоснование цены контракта с хозяйствующими субъектами.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05.04.2013 № 44-ФЗ «О контрактной системе в сфере закупок 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работ, услуг для обеспечения государственных и муниципальных нужд».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мониторинга изменений законодательства в сфере закупок.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Контроль за мониторингом цен на закупаемые товары, работы, услуги.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Исключение конфликта интересов у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льных служащих, занятых в сфере закупок, с хозяйствующими субъектами, являющимися поставщиками (подрядчиками,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исполнителями) при исполнении муниципальных контрактов.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квалификации муниципальных служащих в сфере закупок.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</w:t>
            </w:r>
          </w:p>
        </w:tc>
      </w:tr>
      <w:tr w:rsidR="005A021F">
        <w:trPr>
          <w:trHeight w:val="401"/>
        </w:trPr>
        <w:tc>
          <w:tcPr>
            <w:tcW w:w="14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pStyle w:val="ae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Высокий уровень риска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 счет средств бюджета Петровского городского округа Ставропольского края субсидии социально ориентированным некоммерческим организациям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Нарушение порядка и сроков размещения документации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конкретной социально ориентированной некоммерческой организации (далее- СОНКО) к информации о конкурсе.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Создание конкретной СОНКО преимущественных условий участия в конкурсе путем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установления/не установления требований к участникам конкурса в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контроля за целевым использованием субсидии.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предоставления муниципальной поддержки СОНКО.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муниципальной подд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ержки СОНКО.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Конфликт интересов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служащих, занятых предоставлением муниципальной поддержки СОНКО.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5CA1CD6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191770</wp:posOffset>
                      </wp:positionV>
                      <wp:extent cx="210185" cy="183515"/>
                      <wp:effectExtent l="0" t="0" r="0" b="0"/>
                      <wp:wrapNone/>
                      <wp:docPr id="1" name="Фигур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1836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Фигура1_0" path="m0,0l-2147483645,0l-2147483645,-2147483646l0,-2147483646xe" stroked="f" o:allowincell="f" style="position:absolute;margin-left:366.9pt;margin-top:15.1pt;width:16.5pt;height:14.4pt;mso-wrap-style:none;v-text-anchor:middle" wp14:anchorId="15CA1CD6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25.08.2021 № 1379  «Об утверждении Порядка предоставления за счет средств бюджета Петровского городского округа Ставропольского края субсидии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ориентированным некоммерческим организациям».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9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2. Исключение конфликта 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10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3. Повышение уровня 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квалификации муниципальных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 счет средств бюджета Петровского городского округа Ставропольского края субсидии казачьим обществам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 проведении конкурса.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доступ в приоритетном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 конкретному казачьему обществу к информации о конкурсе.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казачьему обществу  преимущественных условий участия в конкурсе путем установления/не установления требований к участникам конкурса в соответст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Неосуществление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 за целевым использованием субсидии.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Не соблюдение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муниципальными служащими НПА, регулирующих порядок предоставления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казачьим обществам.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контроля за процедурой предоставления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казачьим обществам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субсидии казачьим обществам.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городского округа Ставропольского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края от 25.01.2023 № 51 «Об утверждении Порядка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Петровского городского округа Ставропольского края субсидии казачьим обществам и иным объедин</w:t>
            </w:r>
            <w:r>
              <w:rPr>
                <w:rFonts w:ascii="Times New Roman" w:hAnsi="Times New Roman"/>
                <w:sz w:val="24"/>
                <w:szCs w:val="24"/>
              </w:rPr>
              <w:t>ениям казаков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1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12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рантов за счет средств бюджета Петровского городского округа Ставропольского края субъектам малого и среднего предпринимательства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 проведении конкурсного отбора.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оритетном порядке конкретному хозяйствующему субъекту к информации о конкурсном отборе.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установления/не установления требований к участникам 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конкурсного отбора с нарушением установленных требований.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Неосуществление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нтроля за целевым использованием субсидии.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предоставления услуги.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Ненадлежащее осуществление контроля за процедурой предоставления услуги.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достаточной квалификации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постановления администрации Петровского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Ставропольского края от 06.08.2021 № 1273 «</w:t>
            </w:r>
            <w:r>
              <w:rPr>
                <w:rFonts w:ascii="Times New Roman" w:hAnsi="Times New Roman"/>
                <w:sz w:val="24"/>
                <w:szCs w:val="24"/>
              </w:rPr>
      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постанов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ления администрации Петровского городского округа Ставропольского края от 18.09.2018 № 1647  «Об утверждении административного регламента по предоставлению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администрацией Петровского городского округа Ставропольского края муниципальной услуги «Предоставлен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ие грантов за счет средств бюджета Петровского городского округа Ставропольского края субъектам малого и среднего предпринимательства».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13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14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за счет средств бюджета Петровского городского округа Ставропольского края юридическим лицам (за исключением субсид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(муниципальным) учреждениям), индивидуальным предпринимателям на возмещение недополученных доходов по оказанию банных услуг по помывке населения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сроков размещения документации о проведении конкурсного отбора.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конкретному хозяйствующему субъекту к информации о конкурсном отборе.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Создание конкретному хозяйствующему субъекту преимущественных условий участия в конкурсном отборе путем установления/не установл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требований к участникам конкурсного отбора в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Нарушение порядка признания победителя конкурсного отбора с нарушением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Неосуществление контроля за целевым использованием гранта.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НПА, регулирующих порядок предоставления услуги.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контроля за процедурой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услуги.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Конфликт интересов у муниципальных служащих, занятых предоставлением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администрации Петровского городского округа Ставропольского края от 11.08.2021 № 1297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субсидий за счет средств бюджета Петровского городского округа Ставропольского края юридическим лицам (за исключением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субсидий государственным (муниципальным) учреждениям), индивидуальным предпринимателям на возмещение недополученных доходов по оказанию банных услуг по помывке населения».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15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2. Исключение конфликта интересов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</w:pPr>
            <w:hyperlink r:id="rId16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3. Повышение уровня квалификации муниципальных служащих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товаров, работ, услуг для обеспечения муниципальных нужд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Утверждение документации об осуществлении закупки с нарушением требований к объекту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влекущее за собой ограничение количества участников закупки.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Установление непредусмотренных законодательством Российской Федерации о закупках товаров, работ, услуг для государственных и муниципальных нужд требований и (или) избыточных требований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конкурентных процедур.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Нарушение порядка определения и обоснования начальной (максимальной) цены контракта, победителя торгов.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Нарушение порядка и сроков размещения извещения о закупке.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Недостаточный уровень текущего контроля закупочн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деятельности.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Недостаточное взаимодействие сотрудников, ответственных за подготовку документации, с хозяйствующими субъектами.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 интересов у муниципальных служащих, занятых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сфере закупок, с хозяйствующими субъектами, являющимися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поставщиками (подрядчиками, исполнителями) при исполнении муниципальных контрактов.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мониторинга изменений законодательства в сфере закупок.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Осуществление текущего контроля закуп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очной деятельности.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Исключение конфликта интересов у муниципальных служащих, занятых в сфере закупок, с хозяйствующими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субъектами, являющимися поставщиками (подрядчиками, исполнителями) при исполнении муниципальных контрактов.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квалиф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икации муниципальных служащих в сфере закупок.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контрактов на поставку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условий муниципальных контрактов,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законодательством в сфере закупок и повлекших за собой дополнительные расходования средств бюджета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Недостаточный уровень текущего контроля закупочной деятельности.</w:t>
            </w:r>
          </w:p>
          <w:p w:rsidR="005A021F" w:rsidRDefault="00A46BB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достаточной квалификации у муниципальных служащих.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05.04.2013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мониторинга изменений законодательства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Осуществление текущего контроля закупочной деятельности.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Исключение конфликта интересов у муниципальных служащих, занятых в сфере закупок, с хозяйствующими субъектами, являющимися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поставщиками (подрядчиками, исполнителями) при исполнении муниципальных контрактов.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Повышение уровня квалификации муниципальных служащих в сфере закупок.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права заключения договора на размещение нестационарных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орговых объектов на территории Петровского городского округа Ставропольского края в соответствии с действующим законодательством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Нарушение порядка и сроков размещения документации об аукционе.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Ограничение доступа или доступ в приоритетном порядке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кретному хозяйствующему субъекту к информации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аукционе.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Нарушение порядка признания победителя аукциона.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Не соблюдение муниципальными служащими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НПА, регулирующих порядок предоставления муниципальных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контроля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процедурой проведения аукциона.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 интересов у муниципальных служащих, занятых предоставлением муниципальной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Земельного кодекса Российской Федерации;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17.07.2018 № 1176 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размещении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нестационарных торг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овых объектов на территории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Ставропольского края от 25.10.2018 № 1874 «Об утверждении административного регламента предоставления администрацие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Петровского городского округа Ставропольского края муниципальной услуги «Выдача разрешений на право размещения объектов нестационарной торговли».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Контроль за соблюдением муниципальными служащими администрации НПА, регулирующих порядок предоставления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Исключение конфликта интересов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Заключение, пролонгация/необоснованный отказ в заключении, пролонгации  договоров аренды, договоров безвозмездного пользования, договоров доверительно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управления имуществом, иных договоров, предусматривающих переход прав владения и (или) пользования в отношении муниципального имущества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Принятие необоснованного решения о реализации имущества.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Нарушение порядка и сроков размещения документации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торгов.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информации о торгах.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Установление в документации о торгах преференций и ограничений с нарушением установленных требований.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конк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ретному хозяйствующему субъекту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преимущественных условий участия в торгах путем установления/не установления требований к участникам торгов в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Нарушение порядка признания победителя торгов с нарушением установленных требований.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администрации НПА, регулирующих порядок предоставления муниципальных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осуществление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 процедурой предоставления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достаточной квалификации у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Нарушение исполнительской дисциплины муниципальными служащими.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решения Совета депутатов Петровского городского округа Ставропольского края от 26.12.2017 № 96 «Об 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Положения о порядке управления и распоряжения имуществом, находящимся в муниципальной собственности Петровского городского округа Ставропольского края».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соблюдением муниципальными служащими НПА, регулирующих 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предоставления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Повышение уровня квалификации муниципальных служащих.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Исключение конфликта интересов у муниципальных служащими, занятых в сфере оказания муниципальных услуг.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аренды земельных участков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жилищного строительства, ведения личного подсобного хозяйства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населенного пункта, садоводства, для осуществления крестьянским (фермерским) хозяйством его деятельности с нарушением установленного порядка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Нарушение порядка и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оков размещения документации о проведении конкурсных процедур.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Описание объекта с нарушением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Ограничение доступа или доступ в приоритетном порядке конкретному хозяйствующему субъекту к информации о конкурсных процедурах.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конкретному хозяйствующему субъекту преимущественных условий участия в конкурсных процедурах.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Нарушение порядка признания победителя конкурсных процедур.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Согласование заключения договоров без проведения конкурсных процедур.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Принятие необо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снованного решения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заключении/пролонгации необоснованном отказе при согласовании договоров аренды.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Предоставление заявителем неполной искаженной информации для получения результата муниципальной услуги.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Не соблюдение муниципальными служащими админи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НПА, регулирующих порядок предоставления муниципальных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Ненадлежащее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контроля за процедурой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для получения результата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Земельного кодекса Российской Федерации.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пролонгация/необоснованный отказ в заключении, пролонгации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 крестьянским (фер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мерским) хозяйством его деятельности без проведения конкурсных процедур, необоснованное расторжение договоров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Принятие необоснованного решения о заключении, пролонгации/ необоснованного отказа в заключении пролонгации договоров без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процедур, необоснованное расторжение договоров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 соблюдение муниципальными служащими администрации НПА, регулирующих порядок предоставления муниципальных услуг.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заявителем неполной либо искаженной информации для получения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Земельного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необоснованных преимуществ субъектам инвестиционной деятельности, реализующим инвестиционные проекты на территории округа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необоснованного решения о предоставлении   финансовых мер поддержки субъектам инвестиционной деятельности, реализующ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инвестиционные проекты на территории округа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Несоблюдение порядка рассмотрения заявлений инвесторов о заключении инвестиционного соглашения.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Низкий уровень межведомственного взаимодействия, в т.ч. электронного, при проверке представленных заявителе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данных.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Недостоверные сведения, содержащиеся в представляемых заявителем документах.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постановления администрации Петровского городского округа 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ропольского края от 09.08.2018 № 1374  «Об утверждении Порядка заключения, мониторинга хода реализации, изменения и расторжения инвестиционного соглашения».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4.12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 на право заключения концессионного соглашения, определенного ст.21 Федерального закона от 21.07.2005             № 115-ФЗ «О концессионных соглашениях»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 доступ в приоритетном порядке конкретному хозяйствующему субъекту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конкурсе.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установления/не установления требований к участникам конкурса не в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заявителем неполной либо искаженной информации при подаче документов.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Нарушение порядка признания победителя конкурса.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Нарушение этапов проведения конкурса.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Ослабление контроля за соответствием конкурсной документации предложению о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режима наибольшего благоприятствования хозяйствующему субъекту.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ст.21 Федерального закона от 21.07.2005        № 115-ФЗ «О концесси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соглашениях»;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администрации Петровского городского округа Ставропольского края от 10.04.2019 № 858 «О мерах по реализации отдельных положений Федерального закона от 21.07.2005 № 115-ФЗ «О концессионных соглашениях» на территории Петро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вского городского округа Ставропольского края».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  <w:tr w:rsidR="005A021F">
        <w:trPr>
          <w:trHeight w:val="401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4.13</w:t>
            </w:r>
          </w:p>
        </w:tc>
        <w:tc>
          <w:tcPr>
            <w:tcW w:w="2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на право заключения соглашения о реализации проекта муниципально-частного партнерства, определенного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Федерального закона от 13.07.2015             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  <w:tc>
          <w:tcPr>
            <w:tcW w:w="2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Ограничение доступа 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 в приоритетном порядке конкретному хозяйствующему субъекту к информации о конкурсе.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конкретному хозяйствующему субъекту преимущественных условий участия в конкурсе путем установления/не установления требований к участникам конкурса не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установленными требованиями.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заявителем неполной либо искаженной информации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подаче документов.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Нарушение порядка признания победителя конкурса.</w:t>
            </w:r>
          </w:p>
        </w:tc>
        <w:tc>
          <w:tcPr>
            <w:tcW w:w="2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Нарушение этапов проведения конкурса.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Ослабление контроля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соответствием конкурсной документации предложению о реализации проекта.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режима наибольшего благоприятствования хозяйствующему субъекту.</w:t>
            </w:r>
          </w:p>
          <w:p w:rsidR="005A021F" w:rsidRDefault="005A02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Соблюдение норм и требований:</w:t>
            </w:r>
          </w:p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Федерального закона от 26.07.2006 № 135-ФЗ «О защите конкуренции»;</w:t>
            </w:r>
          </w:p>
          <w:p w:rsidR="005A021F" w:rsidRDefault="00A46B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13.07.2015 № 224-ФЗ «О государственно-частном партнерстве, муниципально-частном партнерстве в Российской Федерации и внесение изменений в отдельные законодательные акты Российской Федерации».</w:t>
            </w:r>
          </w:p>
          <w:p w:rsidR="005A021F" w:rsidRDefault="00A46B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уровня квалификации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служащих.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1F" w:rsidRDefault="00A46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</w:tr>
    </w:tbl>
    <w:p w:rsidR="005A021F" w:rsidRDefault="005A021F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21F" w:rsidRDefault="005A021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21F" w:rsidRDefault="00A46B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Управляющий делами администрации </w:t>
      </w:r>
    </w:p>
    <w:p w:rsidR="005A021F" w:rsidRDefault="00A46B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Петровского городского округа </w:t>
      </w:r>
    </w:p>
    <w:p w:rsidR="005A021F" w:rsidRDefault="00A46BB8">
      <w:pPr>
        <w:spacing w:after="0" w:line="240" w:lineRule="exact"/>
        <w:jc w:val="both"/>
        <w:rPr>
          <w:rFonts w:ascii="Tinos" w:hAnsi="Tinos"/>
          <w:sz w:val="28"/>
          <w:szCs w:val="28"/>
        </w:rPr>
        <w:sectPr w:rsidR="005A021F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Ю.В.Петрич</w:t>
      </w:r>
      <w:r>
        <w:rPr>
          <w:rFonts w:ascii="Tinos" w:eastAsia="Times New Roman" w:hAnsi="Tinos"/>
          <w:color w:val="000000"/>
          <w:sz w:val="28"/>
          <w:szCs w:val="28"/>
          <w:lang w:eastAsia="ru-RU"/>
        </w:rPr>
        <w:t xml:space="preserve">                          Ю.В.Петрич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5A021F">
        <w:trPr>
          <w:trHeight w:val="141"/>
        </w:trPr>
        <w:tc>
          <w:tcPr>
            <w:tcW w:w="5067" w:type="dxa"/>
          </w:tcPr>
          <w:p w:rsidR="005A021F" w:rsidRDefault="005A021F">
            <w:pPr>
              <w:widowControl w:val="0"/>
              <w:spacing w:after="0" w:line="240" w:lineRule="auto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vAlign w:val="center"/>
          </w:tcPr>
          <w:p w:rsidR="005A021F" w:rsidRDefault="00A46BB8">
            <w:pPr>
              <w:widowControl w:val="0"/>
              <w:spacing w:after="0" w:line="240" w:lineRule="exac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</w:tc>
      </w:tr>
      <w:tr w:rsidR="005A021F">
        <w:tc>
          <w:tcPr>
            <w:tcW w:w="5067" w:type="dxa"/>
          </w:tcPr>
          <w:p w:rsidR="005A021F" w:rsidRDefault="005A021F">
            <w:pPr>
              <w:widowControl w:val="0"/>
              <w:spacing w:after="0" w:line="240" w:lineRule="auto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5A021F" w:rsidRDefault="00A46BB8">
            <w:pPr>
              <w:widowControl w:val="0"/>
              <w:spacing w:after="0" w:line="240" w:lineRule="exac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распоряжением администрации Петровского городского округа Ставропольского края</w:t>
            </w:r>
          </w:p>
        </w:tc>
      </w:tr>
      <w:tr w:rsidR="005A021F">
        <w:tc>
          <w:tcPr>
            <w:tcW w:w="5067" w:type="dxa"/>
          </w:tcPr>
          <w:p w:rsidR="005A021F" w:rsidRDefault="005A021F">
            <w:pPr>
              <w:widowControl w:val="0"/>
              <w:spacing w:after="0" w:line="240" w:lineRule="auto"/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5A021F" w:rsidRDefault="00A46BB8">
            <w:pPr>
              <w:widowControl w:val="0"/>
              <w:spacing w:after="0" w:line="240" w:lineRule="exact"/>
              <w:jc w:val="center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17 марта 2023 г. № 106-р</w:t>
            </w:r>
          </w:p>
        </w:tc>
      </w:tr>
    </w:tbl>
    <w:p w:rsidR="005A021F" w:rsidRDefault="005A021F">
      <w:pPr>
        <w:spacing w:after="0" w:line="240" w:lineRule="auto"/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5A021F" w:rsidRDefault="005A021F">
      <w:pPr>
        <w:spacing w:after="0" w:line="240" w:lineRule="auto"/>
        <w:jc w:val="both"/>
        <w:rPr>
          <w:rFonts w:ascii="Tinos" w:hAnsi="Tinos" w:cs="Times New Roman"/>
          <w:color w:val="000000"/>
          <w:sz w:val="28"/>
          <w:szCs w:val="28"/>
        </w:rPr>
      </w:pPr>
    </w:p>
    <w:p w:rsidR="005A021F" w:rsidRDefault="00A46BB8">
      <w:pPr>
        <w:spacing w:after="0" w:line="283" w:lineRule="exact"/>
        <w:jc w:val="center"/>
        <w:rPr>
          <w:rFonts w:ascii="Times New Roman" w:hAnsi="Times New Roman"/>
          <w:color w:val="FFFFFF" w:themeColor="background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</w:t>
      </w:r>
      <w:hyperlink r:id="rId17">
        <w:r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</w:p>
    <w:p w:rsidR="005A021F" w:rsidRDefault="00A46BB8">
      <w:pPr>
        <w:spacing w:after="0"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эффективности антимонопольного комплаенса в администрации Петровского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одского округа Ставропольского края на 2023 год</w:t>
      </w:r>
    </w:p>
    <w:p w:rsidR="005A021F" w:rsidRDefault="005A0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94"/>
        <w:gridCol w:w="4656"/>
        <w:gridCol w:w="2255"/>
        <w:gridCol w:w="1733"/>
      </w:tblGrid>
      <w:tr w:rsidR="005A021F">
        <w:trPr>
          <w:trHeight w:val="6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значение</w:t>
            </w:r>
          </w:p>
        </w:tc>
      </w:tr>
      <w:tr w:rsidR="005A021F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администрации Петровского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 Ставропольского края (далее — администрация) за последние три года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021F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оэффициент эффективности выявления рисков нарушения антимонопольного законодательства в проектах нормативных правовых актов администрации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021F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выявления нарушений антимонопольного законодательства в нормативных правовых актах администрации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021F">
        <w:trPr>
          <w:trHeight w:val="7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1F" w:rsidRDefault="00A46BB8">
            <w:pPr>
              <w:widowControl w:val="0"/>
              <w:spacing w:after="0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A021F" w:rsidRDefault="005A021F">
      <w:pPr>
        <w:spacing w:after="0" w:line="283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21F" w:rsidRDefault="00A46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Примечание: при расчете ключевых показателей эффективности антимонопольного комплаенса в администрации Петровского городского округа Ставропольского края на 2023 год руководствоваться методикой расчета ключевых показателей эффективности,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утвержденной приказом Федеральной антимонопольной службы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27 декабря 2022 г. №1034/22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5A021F" w:rsidRDefault="005A021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A021F" w:rsidRDefault="005A021F">
      <w:pPr>
        <w:spacing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21F" w:rsidRDefault="00A46B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делами администрации </w:t>
      </w:r>
    </w:p>
    <w:p w:rsidR="005A021F" w:rsidRDefault="00A46B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Петровского городского округа </w:t>
      </w:r>
    </w:p>
    <w:p w:rsidR="005A021F" w:rsidRDefault="00A46B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Ю.В.Петрич</w:t>
      </w:r>
    </w:p>
    <w:sectPr w:rsidR="005A021F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F"/>
    <w:rsid w:val="005A021F"/>
    <w:rsid w:val="00A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Placeholder Text"/>
    <w:basedOn w:val="a0"/>
    <w:qFormat/>
    <w:rPr>
      <w:color w:val="808080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Название Знак"/>
    <w:basedOn w:val="a0"/>
    <w:link w:val="a7"/>
    <w:qFormat/>
    <w:rsid w:val="0091776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7">
    <w:name w:val="Title"/>
    <w:basedOn w:val="a"/>
    <w:link w:val="a6"/>
    <w:qFormat/>
    <w:rsid w:val="0091776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Placeholder Text"/>
    <w:basedOn w:val="a0"/>
    <w:qFormat/>
    <w:rPr>
      <w:color w:val="808080"/>
    </w:rPr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Название Знак"/>
    <w:basedOn w:val="a0"/>
    <w:link w:val="a7"/>
    <w:qFormat/>
    <w:rsid w:val="0091776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7">
    <w:name w:val="Title"/>
    <w:basedOn w:val="a"/>
    <w:link w:val="a6"/>
    <w:qFormat/>
    <w:rsid w:val="0091776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3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2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7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1AA3CA3CA2D482419C61ABCB637D193E3118E3A897627525ACFA60D602B5E17B2BF39B5D0C6B9B7E66029B78F04443FED7E5ABF2E703F0B042061CD56AM" TargetMode="External"/><Relationship Id="rId11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0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D74473871410B2E49ECE38AFC2A6877779FD0D7B0B2EEE8E0C8008998B14803B1492A43799DEB0B2BC20BE98E148FEDA415D36163E7D1900BFB2CG9v1I" TargetMode="External"/><Relationship Id="rId14" Type="http://schemas.openxmlformats.org/officeDocument/2006/relationships/hyperlink" Target="consultantplus://offline/ref=FA1D74473871410B2E49ECE38AFC2A6877779FD0D7B0B2EEE8E0C8008998B14803B1492A43799DEB0B2BC20BE98E148FEDA415D36163E7D1900BFB2CG9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1786-66A9-482E-A6FD-0CED447B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7711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27.12.2022 N 1034/22"Об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</vt:lpstr>
    </vt:vector>
  </TitlesOfParts>
  <Company>КонсультантПлюс Версия 4022.00.55</Company>
  <LinksUpToDate>false</LinksUpToDate>
  <CharactersWithSpaces>51561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27.12.2022 N 1034/22"Об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комплаенса"</dc:title>
  <dc:creator>Кириленко Лариса Васильевна</dc:creator>
  <cp:lastModifiedBy>Marina</cp:lastModifiedBy>
  <cp:revision>2</cp:revision>
  <cp:lastPrinted>2023-03-17T08:33:00Z</cp:lastPrinted>
  <dcterms:created xsi:type="dcterms:W3CDTF">2023-11-19T14:40:00Z</dcterms:created>
  <dcterms:modified xsi:type="dcterms:W3CDTF">2023-11-19T14:40:00Z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