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9" w:rsidRDefault="009774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3E3489" w:rsidRDefault="009774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3E3489" w:rsidRDefault="009774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3E3489" w:rsidRDefault="003E3489">
      <w:pPr>
        <w:jc w:val="center"/>
        <w:rPr>
          <w:color w:val="000000"/>
          <w:sz w:val="28"/>
          <w:szCs w:val="28"/>
        </w:rPr>
      </w:pPr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квартала 2022 года рабочей группой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</w:t>
      </w:r>
      <w:r>
        <w:rPr>
          <w:color w:val="000000"/>
          <w:sz w:val="28"/>
          <w:szCs w:val="28"/>
        </w:rPr>
        <w:t xml:space="preserve">езаконными решений и действий (бездействия) администрации Петровского </w:t>
      </w:r>
      <w:proofErr w:type="gramStart"/>
      <w:r>
        <w:rPr>
          <w:color w:val="000000"/>
          <w:sz w:val="28"/>
          <w:szCs w:val="28"/>
        </w:rPr>
        <w:t>городского округа Ставропольского края, органов администрации Петровского городского округа Ставропольского края и их должностных лиц, утвержденного постановлением администрации Петровск</w:t>
      </w:r>
      <w:r>
        <w:rPr>
          <w:color w:val="000000"/>
          <w:sz w:val="28"/>
          <w:szCs w:val="28"/>
        </w:rPr>
        <w:t xml:space="preserve">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31</w:t>
      </w:r>
      <w:r>
        <w:rPr>
          <w:color w:val="000000"/>
          <w:sz w:val="28"/>
          <w:szCs w:val="28"/>
        </w:rPr>
        <w:t xml:space="preserve"> вступившее в законную силу решение Петровского районного суда Ставропольского края о признании незаконными решений и действий (бездействия) администрации Петровског</w:t>
      </w:r>
      <w:r>
        <w:rPr>
          <w:color w:val="000000"/>
          <w:sz w:val="28"/>
          <w:szCs w:val="28"/>
        </w:rPr>
        <w:t xml:space="preserve">о городского округа Ставропольского края, по следующим вопросам: </w:t>
      </w:r>
      <w:proofErr w:type="gramEnd"/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</w:t>
      </w:r>
      <w:r>
        <w:rPr>
          <w:rFonts w:cs="Liberation Serif"/>
          <w:color w:val="000000"/>
          <w:sz w:val="28"/>
          <w:szCs w:val="28"/>
          <w:lang w:bidi="ar-SA"/>
        </w:rPr>
        <w:t xml:space="preserve">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 кабинетов в образовательных учреждениях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 осуществление полномочий органов местного самоуправления в области обеспечения малоимущих граждан  по договору социального найма жилыми помещениями</w:t>
      </w:r>
      <w:r>
        <w:rPr>
          <w:rFonts w:cs="Liberation Serif"/>
          <w:color w:val="000000"/>
          <w:sz w:val="28"/>
          <w:szCs w:val="28"/>
          <w:lang w:bidi="ar-SA"/>
        </w:rPr>
        <w:t xml:space="preserve"> муниципального жилищного фонда</w:t>
      </w:r>
      <w:proofErr w:type="gramStart"/>
      <w:r>
        <w:rPr>
          <w:rFonts w:cs="Liberation Serif"/>
          <w:color w:val="000000"/>
          <w:sz w:val="28"/>
          <w:szCs w:val="28"/>
          <w:lang w:bidi="ar-SA"/>
        </w:rPr>
        <w:t xml:space="preserve"> .</w:t>
      </w:r>
      <w:proofErr w:type="gramEnd"/>
    </w:p>
    <w:p w:rsidR="003E3489" w:rsidRDefault="0097749C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3E3489" w:rsidRDefault="0097749C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владение, пользование и распоряжение имуществом, находящимся в муниципальной собственности городского округа.</w:t>
      </w:r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</w:t>
      </w:r>
      <w:r>
        <w:rPr>
          <w:rFonts w:cs="Liberation Serif"/>
          <w:sz w:val="28"/>
          <w:szCs w:val="28"/>
          <w:lang w:bidi="ar-SA"/>
        </w:rPr>
        <w:t xml:space="preserve">рассмотрено </w:t>
      </w:r>
      <w:r>
        <w:rPr>
          <w:rFonts w:cs="Liberation Serif"/>
          <w:sz w:val="28"/>
          <w:szCs w:val="28"/>
          <w:lang w:bidi="ar-SA"/>
        </w:rPr>
        <w:t>7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3E3489" w:rsidRDefault="0097749C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</w:t>
      </w:r>
      <w:r>
        <w:rPr>
          <w:rFonts w:cs="Liberation Serif"/>
          <w:color w:val="000000"/>
          <w:sz w:val="28"/>
          <w:szCs w:val="28"/>
          <w:lang w:bidi="ar-SA"/>
        </w:rPr>
        <w:t xml:space="preserve"> обеспечение требований безопасности и антитеррористической защищенности образовательных учреждений</w:t>
      </w:r>
      <w:r>
        <w:rPr>
          <w:rFonts w:cs="Liberation Serif"/>
          <w:color w:val="000000"/>
          <w:sz w:val="28"/>
          <w:szCs w:val="28"/>
          <w:lang w:bidi="ar-SA"/>
        </w:rPr>
        <w:t>;</w:t>
      </w:r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</w:t>
      </w:r>
      <w:r>
        <w:rPr>
          <w:color w:val="000000"/>
          <w:sz w:val="28"/>
          <w:szCs w:val="28"/>
        </w:rPr>
        <w:t>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характера;</w:t>
      </w:r>
    </w:p>
    <w:p w:rsidR="003E3489" w:rsidRDefault="0097749C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lastRenderedPageBreak/>
        <w:t>- осуществление полномочий органов местного самоуправления в сфере обр</w:t>
      </w:r>
      <w:r>
        <w:rPr>
          <w:rFonts w:cs="Liberation Serif"/>
          <w:sz w:val="28"/>
          <w:szCs w:val="28"/>
          <w:lang w:bidi="ar-SA"/>
        </w:rPr>
        <w:t xml:space="preserve">азования (в части обеспечение содержания зданий и сооружений муниципальных образовательных организаций, обустройство прилегающих к ним территорий, обеспечение выполнения требований законодательства в части создания условий для занятия физической культурой </w:t>
      </w:r>
      <w:r>
        <w:rPr>
          <w:rFonts w:cs="Liberation Serif"/>
          <w:sz w:val="28"/>
          <w:szCs w:val="28"/>
          <w:lang w:bidi="ar-SA"/>
        </w:rPr>
        <w:t>и спортом);</w:t>
      </w:r>
    </w:p>
    <w:p w:rsidR="003E3489" w:rsidRDefault="0097749C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3E3489" w:rsidRDefault="009774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группой на контроле, исполнены в полном объеме в установленны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срок.</w:t>
      </w:r>
    </w:p>
    <w:p w:rsidR="003E3489" w:rsidRDefault="009774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выполнен</w:t>
      </w:r>
      <w:r>
        <w:rPr>
          <w:color w:val="000000"/>
          <w:sz w:val="28"/>
          <w:szCs w:val="28"/>
        </w:rPr>
        <w:t xml:space="preserve">ию решений. </w:t>
      </w:r>
    </w:p>
    <w:p w:rsidR="003E3489" w:rsidRDefault="0097749C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3E3489" w:rsidRDefault="0097749C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</w:t>
      </w:r>
      <w:r>
        <w:rPr>
          <w:rFonts w:ascii="Times New Roman" w:eastAsia="Calibri" w:hAnsi="Times New Roman" w:cs="Times New Roman"/>
          <w:sz w:val="28"/>
          <w:szCs w:val="28"/>
        </w:rPr>
        <w:t>(бездействия) администрации, органов администрации и их должностных лиц, рабочей группой не выявлено;</w:t>
      </w:r>
    </w:p>
    <w:p w:rsidR="003E3489" w:rsidRDefault="0097749C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округа Ставропольского края, не установлено. </w:t>
      </w:r>
    </w:p>
    <w:p w:rsidR="003E3489" w:rsidRDefault="0097749C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3E3489" w:rsidRDefault="0097749C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направить сообщение об исполнении решения суда в суд, кото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3E3489" w:rsidRDefault="0097749C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соответствующие меры по предупреждению и устранению причин, послуживших основаниями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3E3489" w:rsidRDefault="003E3489">
      <w:pPr>
        <w:rPr>
          <w:color w:val="000000"/>
          <w:sz w:val="28"/>
          <w:szCs w:val="28"/>
        </w:rPr>
      </w:pPr>
    </w:p>
    <w:p w:rsidR="003E3489" w:rsidRDefault="003E3489">
      <w:pPr>
        <w:rPr>
          <w:color w:val="000000"/>
          <w:sz w:val="28"/>
          <w:szCs w:val="28"/>
        </w:rPr>
      </w:pPr>
    </w:p>
    <w:p w:rsidR="003E3489" w:rsidRDefault="003E3489">
      <w:pPr>
        <w:rPr>
          <w:color w:val="000000"/>
        </w:rPr>
      </w:pPr>
    </w:p>
    <w:sectPr w:rsidR="003E3489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9"/>
    <w:rsid w:val="003E3489"/>
    <w:rsid w:val="009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CA89-746C-41C0-8949-A63084AE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2023-01-31T16:31:00Z</cp:lastPrinted>
  <dcterms:created xsi:type="dcterms:W3CDTF">2023-11-20T05:47:00Z</dcterms:created>
  <dcterms:modified xsi:type="dcterms:W3CDTF">2023-11-20T05:47:00Z</dcterms:modified>
  <dc:language>ru-RU</dc:language>
</cp:coreProperties>
</file>