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0D3D0D">
        <w:t>в селе</w:t>
      </w:r>
      <w:r>
        <w:t xml:space="preserve"> </w:t>
      </w:r>
      <w:r w:rsidR="00363445">
        <w:t>Высоцкое</w:t>
      </w:r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</w:t>
      </w:r>
      <w:r w:rsidR="00363445">
        <w:t>Высоцкое</w:t>
      </w:r>
      <w:r w:rsidR="00A46670">
        <w:t xml:space="preserve"> Петровского городского округа Ставропольского края</w:t>
      </w:r>
      <w:r w:rsidR="00E86C82">
        <w:t xml:space="preserve"> (далее – села </w:t>
      </w:r>
      <w:r w:rsidR="00363445">
        <w:t>Высоцкое</w:t>
      </w:r>
      <w:r w:rsidR="00E86C82">
        <w:t>)</w:t>
      </w:r>
      <w:r w:rsidR="00A46670">
        <w:t>, а также рассмотрения наиболее важных</w:t>
      </w:r>
      <w:proofErr w:type="gramEnd"/>
      <w:r w:rsidR="00A46670">
        <w:t xml:space="preserve"> социальных, культурных и образовательных аспектов жизнедеятельности населения.</w:t>
      </w:r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</w:t>
      </w:r>
      <w:r w:rsidR="00363445">
        <w:t>Высоцкое</w:t>
      </w:r>
      <w:r>
        <w:t>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0D3D0D">
        <w:t>в селе</w:t>
      </w:r>
      <w:r w:rsidR="00E86C82">
        <w:t xml:space="preserve"> </w:t>
      </w:r>
      <w:r w:rsidR="000D3D0D">
        <w:t>Высоцкое</w:t>
      </w:r>
      <w:r w:rsidR="00E86C82">
        <w:t xml:space="preserve"> Управления по делам территорий администрации Петровского городского округа Ставропольского края (далее территориальный отдел </w:t>
      </w:r>
      <w:r w:rsidR="000D3D0D">
        <w:t>в селе</w:t>
      </w:r>
      <w:r w:rsidR="00E86C82">
        <w:t xml:space="preserve"> </w:t>
      </w:r>
      <w:r w:rsidR="00363445">
        <w:t>Высоцкое</w:t>
      </w:r>
      <w:r w:rsidR="00E86C82">
        <w:t>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0D3D0D">
        <w:t>в селе</w:t>
      </w:r>
      <w:r>
        <w:t xml:space="preserve"> </w:t>
      </w:r>
      <w:r w:rsidR="00363445">
        <w:t>Высоцкое</w:t>
      </w:r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0D3D0D">
        <w:t>в селе</w:t>
      </w:r>
      <w:r>
        <w:t xml:space="preserve"> </w:t>
      </w:r>
      <w:r w:rsidR="00363445">
        <w:t>Высоцкое</w:t>
      </w:r>
      <w:r>
        <w:t xml:space="preserve">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0D3D0D">
        <w:t>в селе</w:t>
      </w:r>
      <w:bookmarkStart w:id="0" w:name="_GoBack"/>
      <w:bookmarkEnd w:id="0"/>
      <w:r>
        <w:t xml:space="preserve"> </w:t>
      </w:r>
      <w:r w:rsidR="00363445">
        <w:t>Высоцкое</w:t>
      </w:r>
      <w:r>
        <w:t xml:space="preserve">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022462"/>
    <w:rsid w:val="000D3D0D"/>
    <w:rsid w:val="0024321F"/>
    <w:rsid w:val="00325D8C"/>
    <w:rsid w:val="00363445"/>
    <w:rsid w:val="005876D7"/>
    <w:rsid w:val="00644906"/>
    <w:rsid w:val="00690F6B"/>
    <w:rsid w:val="00A3722D"/>
    <w:rsid w:val="00A46670"/>
    <w:rsid w:val="00C1412D"/>
    <w:rsid w:val="00C87F09"/>
    <w:rsid w:val="00E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2018-08-10T10:26:00Z</dcterms:created>
  <dcterms:modified xsi:type="dcterms:W3CDTF">2018-08-10T12:27:00Z</dcterms:modified>
</cp:coreProperties>
</file>