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07" w:rsidRPr="004E1421" w:rsidRDefault="00525B07" w:rsidP="00B00BB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E1421">
        <w:rPr>
          <w:rFonts w:ascii="Times New Roman" w:hAnsi="Times New Roman" w:cs="Times New Roman"/>
          <w:sz w:val="28"/>
          <w:szCs w:val="28"/>
        </w:rPr>
        <w:t>ДОПОЛНИТЕЛЬНЫЕ МАТЕРИАЛЫ,</w:t>
      </w:r>
    </w:p>
    <w:p w:rsidR="00B00BBB" w:rsidRPr="004E1421" w:rsidRDefault="00B00BBB" w:rsidP="00B00BB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E1421">
        <w:rPr>
          <w:rFonts w:ascii="Times New Roman" w:hAnsi="Times New Roman" w:cs="Times New Roman"/>
          <w:sz w:val="28"/>
          <w:szCs w:val="28"/>
        </w:rPr>
        <w:t xml:space="preserve">предоставляемые с проектом </w:t>
      </w:r>
      <w:r w:rsidRPr="004E142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 w:rsidR="00E63DA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E1421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A951D4" w:rsidRPr="004E1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1421">
        <w:rPr>
          <w:rFonts w:ascii="Times New Roman" w:hAnsi="Times New Roman" w:cs="Times New Roman"/>
          <w:sz w:val="28"/>
          <w:szCs w:val="28"/>
        </w:rPr>
        <w:t>«</w:t>
      </w:r>
      <w:r w:rsidR="00B15ADC">
        <w:rPr>
          <w:rFonts w:ascii="Times New Roman" w:hAnsi="Times New Roman" w:cs="Times New Roman"/>
          <w:sz w:val="28"/>
          <w:szCs w:val="28"/>
        </w:rPr>
        <w:t>Охрана окружающей среды</w:t>
      </w:r>
      <w:r w:rsidRPr="004E1421">
        <w:rPr>
          <w:rFonts w:ascii="Times New Roman" w:hAnsi="Times New Roman" w:cs="Times New Roman"/>
          <w:sz w:val="28"/>
          <w:szCs w:val="28"/>
        </w:rPr>
        <w:t>»</w:t>
      </w:r>
      <w:r w:rsidR="00525B07" w:rsidRPr="004E14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BBB" w:rsidRDefault="00B00BBB" w:rsidP="00B00BB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BBB" w:rsidRDefault="00B00BBB" w:rsidP="00B00BB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443AE1">
        <w:rPr>
          <w:rFonts w:ascii="Times New Roman" w:hAnsi="Times New Roman" w:cs="Times New Roman"/>
          <w:sz w:val="28"/>
          <w:szCs w:val="28"/>
        </w:rPr>
        <w:t xml:space="preserve">Общая характеристика </w:t>
      </w:r>
    </w:p>
    <w:p w:rsidR="00485B00" w:rsidRPr="003B5DB2" w:rsidRDefault="00B00BBB" w:rsidP="00485B0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43AE1">
        <w:rPr>
          <w:rFonts w:ascii="Times New Roman" w:hAnsi="Times New Roman" w:cs="Times New Roman"/>
          <w:sz w:val="28"/>
          <w:szCs w:val="28"/>
        </w:rPr>
        <w:t>текущего состояния сферы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AE1">
        <w:rPr>
          <w:rFonts w:ascii="Times New Roman" w:hAnsi="Times New Roman" w:cs="Times New Roman"/>
          <w:sz w:val="28"/>
          <w:szCs w:val="28"/>
        </w:rPr>
        <w:t>реализации</w:t>
      </w:r>
      <w:r w:rsidRPr="00F52894"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52894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F52894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85B00">
        <w:rPr>
          <w:rFonts w:ascii="Times New Roman" w:hAnsi="Times New Roman" w:cs="Times New Roman"/>
          <w:sz w:val="28"/>
          <w:szCs w:val="28"/>
        </w:rPr>
        <w:t>,</w:t>
      </w:r>
    </w:p>
    <w:p w:rsidR="00B00BBB" w:rsidRPr="003B5DB2" w:rsidRDefault="00B00BBB" w:rsidP="00B00BBB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5DB2">
        <w:rPr>
          <w:rFonts w:ascii="Times New Roman" w:hAnsi="Times New Roman" w:cs="Times New Roman"/>
          <w:sz w:val="28"/>
          <w:szCs w:val="28"/>
        </w:rPr>
        <w:t>в том числе формулировка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DB2">
        <w:rPr>
          <w:rFonts w:ascii="Times New Roman" w:hAnsi="Times New Roman" w:cs="Times New Roman"/>
          <w:sz w:val="28"/>
          <w:szCs w:val="28"/>
        </w:rPr>
        <w:t>основных проблем в указанной сфере</w:t>
      </w:r>
    </w:p>
    <w:p w:rsidR="00B15ADC" w:rsidRDefault="00B15ADC" w:rsidP="00B15ADC">
      <w:pPr>
        <w:pStyle w:val="ConsPlusNormal"/>
        <w:ind w:firstLine="540"/>
        <w:jc w:val="both"/>
      </w:pPr>
    </w:p>
    <w:p w:rsidR="00B15ADC" w:rsidRDefault="00B15ADC" w:rsidP="00B15ADC">
      <w:pPr>
        <w:pStyle w:val="ConsPlusNormal"/>
        <w:ind w:firstLine="540"/>
        <w:jc w:val="both"/>
      </w:pPr>
      <w:r>
        <w:t>В условиях развития экономики и наметившегося подъема производства вопросы охраны окружающей среды приобретают особое значение. Хотя экологическая ситуация Петровско</w:t>
      </w:r>
      <w:r w:rsidR="003B1EAF">
        <w:t>го</w:t>
      </w:r>
      <w:r>
        <w:t xml:space="preserve"> </w:t>
      </w:r>
      <w:r w:rsidR="003B1EAF">
        <w:t>городского округа Ставропольского края</w:t>
      </w:r>
      <w:r>
        <w:t xml:space="preserve"> </w:t>
      </w:r>
      <w:r w:rsidR="003B1EAF">
        <w:t>в целом</w:t>
      </w:r>
      <w:r>
        <w:t xml:space="preserve"> благоприятн</w:t>
      </w:r>
      <w:r w:rsidR="003B1EAF">
        <w:t>ая но</w:t>
      </w:r>
      <w:r>
        <w:t>, возрастает актуальность разработки и реализации мер по улучшению экологической ситуации, по рациональному использованию природных ресурсов, проведению воспитательной и образовательной работы с населением.</w:t>
      </w:r>
    </w:p>
    <w:p w:rsidR="0088294C" w:rsidRPr="002D3529" w:rsidRDefault="0088294C" w:rsidP="0088294C">
      <w:pPr>
        <w:pStyle w:val="a3"/>
        <w:ind w:firstLine="708"/>
        <w:jc w:val="both"/>
        <w:rPr>
          <w:rFonts w:eastAsia="Arial Unicode MS"/>
          <w:szCs w:val="28"/>
        </w:rPr>
      </w:pPr>
      <w:r w:rsidRPr="002D3529">
        <w:rPr>
          <w:szCs w:val="28"/>
        </w:rPr>
        <w:t>Проблемы охраны окружающей среды с каждым годом становятся всё более актуальными</w:t>
      </w:r>
      <w:r w:rsidRPr="002D3529">
        <w:rPr>
          <w:rFonts w:eastAsia="Arial Unicode MS"/>
          <w:szCs w:val="28"/>
        </w:rPr>
        <w:t>. Нарушение естественных экологических балансов и перегрузка экосистем являются причинами ухудшения здоровья населения, условий труда и отдыха.</w:t>
      </w:r>
    </w:p>
    <w:p w:rsidR="0088294C" w:rsidRDefault="0088294C" w:rsidP="0088294C">
      <w:pPr>
        <w:pStyle w:val="a3"/>
        <w:ind w:firstLine="708"/>
        <w:jc w:val="both"/>
        <w:rPr>
          <w:szCs w:val="28"/>
        </w:rPr>
      </w:pPr>
      <w:r w:rsidRPr="002D3529">
        <w:rPr>
          <w:szCs w:val="28"/>
        </w:rPr>
        <w:t>На территории сельских поселений Петровского района расположен</w:t>
      </w:r>
      <w:r>
        <w:rPr>
          <w:szCs w:val="28"/>
        </w:rPr>
        <w:t>о</w:t>
      </w:r>
      <w:r w:rsidRPr="002D3529">
        <w:rPr>
          <w:szCs w:val="28"/>
        </w:rPr>
        <w:t xml:space="preserve"> </w:t>
      </w:r>
      <w:r>
        <w:rPr>
          <w:szCs w:val="28"/>
        </w:rPr>
        <w:t>20</w:t>
      </w:r>
      <w:r w:rsidRPr="002D3529">
        <w:rPr>
          <w:szCs w:val="28"/>
        </w:rPr>
        <w:t xml:space="preserve"> </w:t>
      </w:r>
      <w:r>
        <w:rPr>
          <w:szCs w:val="28"/>
        </w:rPr>
        <w:t xml:space="preserve">временных </w:t>
      </w:r>
      <w:r w:rsidRPr="002D3529">
        <w:rPr>
          <w:szCs w:val="28"/>
        </w:rPr>
        <w:t>санкционированн</w:t>
      </w:r>
      <w:r>
        <w:rPr>
          <w:szCs w:val="28"/>
        </w:rPr>
        <w:t>ых</w:t>
      </w:r>
      <w:r w:rsidRPr="002D3529">
        <w:rPr>
          <w:szCs w:val="28"/>
        </w:rPr>
        <w:t xml:space="preserve"> свал</w:t>
      </w:r>
      <w:r>
        <w:rPr>
          <w:szCs w:val="28"/>
        </w:rPr>
        <w:t>ок</w:t>
      </w:r>
      <w:r w:rsidRPr="002D3529">
        <w:rPr>
          <w:szCs w:val="28"/>
        </w:rPr>
        <w:t xml:space="preserve">, сведения о которых внесены в территориальную схему обращения с отходами Ставропольского края.  </w:t>
      </w:r>
      <w:r>
        <w:rPr>
          <w:szCs w:val="28"/>
        </w:rPr>
        <w:t>В</w:t>
      </w:r>
      <w:r w:rsidRPr="002D3529">
        <w:rPr>
          <w:szCs w:val="28"/>
        </w:rPr>
        <w:t xml:space="preserve">ременные санкционированные свалки, подлежат закрытию в сроки, необходимые для проектирования и строительства полигона, отвечающего всем требованиям </w:t>
      </w:r>
      <w:proofErr w:type="spellStart"/>
      <w:r w:rsidRPr="002D3529">
        <w:rPr>
          <w:szCs w:val="28"/>
        </w:rPr>
        <w:t>СНиП</w:t>
      </w:r>
      <w:proofErr w:type="spellEnd"/>
      <w:r w:rsidRPr="002D3529">
        <w:rPr>
          <w:szCs w:val="28"/>
        </w:rPr>
        <w:t xml:space="preserve"> и </w:t>
      </w:r>
      <w:proofErr w:type="spellStart"/>
      <w:r w:rsidRPr="002D3529">
        <w:rPr>
          <w:szCs w:val="28"/>
        </w:rPr>
        <w:t>СанПин</w:t>
      </w:r>
      <w:proofErr w:type="spellEnd"/>
      <w:r w:rsidRPr="002D3529">
        <w:rPr>
          <w:szCs w:val="28"/>
        </w:rPr>
        <w:t>.</w:t>
      </w:r>
    </w:p>
    <w:p w:rsidR="0088294C" w:rsidRDefault="0088294C" w:rsidP="0088294C">
      <w:pPr>
        <w:pStyle w:val="a3"/>
        <w:ind w:firstLine="708"/>
        <w:jc w:val="both"/>
        <w:rPr>
          <w:szCs w:val="28"/>
        </w:rPr>
      </w:pPr>
      <w:r w:rsidRPr="00584A17">
        <w:rPr>
          <w:szCs w:val="28"/>
        </w:rPr>
        <w:t xml:space="preserve">В границах города Светлограда, в непосредственной близости к р. </w:t>
      </w:r>
      <w:proofErr w:type="spellStart"/>
      <w:r w:rsidRPr="00584A17">
        <w:rPr>
          <w:szCs w:val="28"/>
        </w:rPr>
        <w:t>Калаус</w:t>
      </w:r>
      <w:proofErr w:type="spellEnd"/>
      <w:r w:rsidRPr="00584A17">
        <w:rPr>
          <w:szCs w:val="28"/>
        </w:rPr>
        <w:t>, до недавнего времени в течение более 70 лет происходило накопление отходов на исторически сложившейся городской</w:t>
      </w:r>
      <w:r>
        <w:rPr>
          <w:szCs w:val="28"/>
        </w:rPr>
        <w:t xml:space="preserve"> свалке, </w:t>
      </w:r>
      <w:r w:rsidRPr="002D3529">
        <w:rPr>
          <w:szCs w:val="28"/>
        </w:rPr>
        <w:t>не включенн</w:t>
      </w:r>
      <w:r>
        <w:rPr>
          <w:szCs w:val="28"/>
        </w:rPr>
        <w:t>ой</w:t>
      </w:r>
      <w:r w:rsidRPr="002D3529">
        <w:rPr>
          <w:szCs w:val="28"/>
        </w:rPr>
        <w:t xml:space="preserve"> </w:t>
      </w:r>
      <w:r w:rsidRPr="0088294C">
        <w:rPr>
          <w:szCs w:val="28"/>
        </w:rPr>
        <w:t xml:space="preserve">в </w:t>
      </w:r>
      <w:r w:rsidRPr="0088294C">
        <w:rPr>
          <w:bCs/>
          <w:szCs w:val="28"/>
          <w:shd w:val="clear" w:color="auto" w:fill="FFFFFF"/>
        </w:rPr>
        <w:t>Государственный</w:t>
      </w:r>
      <w:r w:rsidRPr="0088294C">
        <w:rPr>
          <w:rStyle w:val="apple-converted-space"/>
          <w:szCs w:val="28"/>
          <w:shd w:val="clear" w:color="auto" w:fill="FFFFFF"/>
        </w:rPr>
        <w:t> </w:t>
      </w:r>
      <w:r w:rsidRPr="0088294C">
        <w:rPr>
          <w:bCs/>
          <w:szCs w:val="28"/>
          <w:shd w:val="clear" w:color="auto" w:fill="FFFFFF"/>
        </w:rPr>
        <w:t>реестр</w:t>
      </w:r>
      <w:r w:rsidRPr="0088294C">
        <w:rPr>
          <w:rStyle w:val="apple-converted-space"/>
          <w:szCs w:val="28"/>
          <w:shd w:val="clear" w:color="auto" w:fill="FFFFFF"/>
        </w:rPr>
        <w:t> </w:t>
      </w:r>
      <w:r w:rsidRPr="0088294C">
        <w:rPr>
          <w:bCs/>
          <w:szCs w:val="28"/>
          <w:shd w:val="clear" w:color="auto" w:fill="FFFFFF"/>
        </w:rPr>
        <w:t>объектов</w:t>
      </w:r>
      <w:r w:rsidRPr="0088294C">
        <w:rPr>
          <w:rStyle w:val="apple-converted-space"/>
          <w:szCs w:val="28"/>
          <w:shd w:val="clear" w:color="auto" w:fill="FFFFFF"/>
        </w:rPr>
        <w:t> </w:t>
      </w:r>
      <w:r w:rsidRPr="0088294C">
        <w:rPr>
          <w:bCs/>
          <w:szCs w:val="28"/>
          <w:shd w:val="clear" w:color="auto" w:fill="FFFFFF"/>
        </w:rPr>
        <w:t>размещения</w:t>
      </w:r>
      <w:r w:rsidRPr="0088294C">
        <w:rPr>
          <w:rStyle w:val="apple-converted-space"/>
          <w:szCs w:val="28"/>
          <w:shd w:val="clear" w:color="auto" w:fill="FFFFFF"/>
        </w:rPr>
        <w:t> </w:t>
      </w:r>
      <w:r w:rsidRPr="0088294C">
        <w:rPr>
          <w:bCs/>
          <w:szCs w:val="28"/>
          <w:shd w:val="clear" w:color="auto" w:fill="FFFFFF"/>
        </w:rPr>
        <w:t>отходов</w:t>
      </w:r>
      <w:r w:rsidRPr="0088294C">
        <w:rPr>
          <w:szCs w:val="28"/>
        </w:rPr>
        <w:t xml:space="preserve"> и не имеющей соответствующую</w:t>
      </w:r>
      <w:r>
        <w:rPr>
          <w:szCs w:val="28"/>
        </w:rPr>
        <w:t xml:space="preserve"> лицензию. </w:t>
      </w:r>
      <w:r w:rsidRPr="002D3529">
        <w:rPr>
          <w:szCs w:val="28"/>
        </w:rPr>
        <w:t>Физические и юридические</w:t>
      </w:r>
      <w:r w:rsidR="003B1EAF">
        <w:rPr>
          <w:szCs w:val="28"/>
        </w:rPr>
        <w:t xml:space="preserve"> лица</w:t>
      </w:r>
      <w:r w:rsidRPr="002D3529">
        <w:rPr>
          <w:szCs w:val="28"/>
        </w:rPr>
        <w:t xml:space="preserve"> вывозили, размещали и хранили на ней отходы бесплатно. </w:t>
      </w:r>
    </w:p>
    <w:p w:rsidR="00B15ADC" w:rsidRDefault="003B1EAF" w:rsidP="00B15ADC">
      <w:pPr>
        <w:pStyle w:val="ConsPlusNormal"/>
        <w:ind w:firstLine="540"/>
        <w:jc w:val="both"/>
      </w:pPr>
      <w:r>
        <w:t xml:space="preserve">Программа Петровского городского округа Ставропольского края «Охрана окружающей среды» (далее - Программа) </w:t>
      </w:r>
      <w:r w:rsidR="00B15ADC">
        <w:t>содержит комплекс мероприятий по защите территории и населения от вредного воздействия вод и бытовых отходов, оздоровления экологической обстановки. Определение мероприятий Программы основано на наиболее острых проблемах.</w:t>
      </w:r>
    </w:p>
    <w:p w:rsidR="00B15ADC" w:rsidRDefault="00B15ADC" w:rsidP="00B15ADC">
      <w:pPr>
        <w:pStyle w:val="ConsPlusNormal"/>
        <w:ind w:firstLine="540"/>
        <w:jc w:val="both"/>
      </w:pPr>
      <w:r>
        <w:t>Одной из серьезных экологических проблем в районе остается проблема хранения, переработки, утилизации и обезвреживания твердых производственных и бытовых отходов. Большинство свалок в поселениях, куда вывозятся твердые отходы, не отвечают современным экологическим требованиям. Нерешенность вопросов размещения, переработки и утилизации твердых отходов приводит к увеличению их объемов, размеров занимаемой ими территории, росту числа несанкционированных свалок, интенсивному загрязнению почв, поверхностных водоемов и подземных вод, атмосферного воздуха.</w:t>
      </w:r>
    </w:p>
    <w:p w:rsidR="00B15ADC" w:rsidRDefault="00B15ADC" w:rsidP="00B15ADC">
      <w:pPr>
        <w:pStyle w:val="ConsPlusNormal"/>
        <w:ind w:firstLine="540"/>
        <w:jc w:val="both"/>
      </w:pPr>
      <w:r>
        <w:lastRenderedPageBreak/>
        <w:t xml:space="preserve">Большой объем и высокий темп накопления отходов потребления и слабое развитие индустрии вторичной переработки приводит к тому, что основным методом утилизации отходов является их захоронение на полигоне. Основная проблема заключается в том, что сегодня существует очень много отходов самого различного состава и происхождения и их становится все больше с каждым годом. С ростом количества отходов, ухудшается экологическая обстановка в целом, так как срок, за который некоторые отходы до конца будут </w:t>
      </w:r>
      <w:proofErr w:type="spellStart"/>
      <w:r>
        <w:t>самоуничтожены</w:t>
      </w:r>
      <w:proofErr w:type="spellEnd"/>
      <w:r>
        <w:t xml:space="preserve">, составляет не один десяток, а иногда и сотню лет. Одновременно с этим не уменьшаются объемы и площади несанкционированных свалок. Это </w:t>
      </w:r>
      <w:r w:rsidR="003B1EAF">
        <w:t xml:space="preserve">основная экологическая </w:t>
      </w:r>
      <w:r>
        <w:t>проблема, которая сегодня существует на территории Петровского района и ее необходимо срочно решать именно программными методами.</w:t>
      </w:r>
    </w:p>
    <w:p w:rsidR="0088294C" w:rsidRDefault="0088294C" w:rsidP="0088294C">
      <w:pPr>
        <w:pStyle w:val="a3"/>
        <w:ind w:firstLine="567"/>
        <w:jc w:val="both"/>
        <w:rPr>
          <w:szCs w:val="28"/>
        </w:rPr>
      </w:pPr>
      <w:proofErr w:type="gramStart"/>
      <w:r w:rsidRPr="003F193C">
        <w:rPr>
          <w:szCs w:val="28"/>
        </w:rPr>
        <w:t xml:space="preserve">В целях увеличения пропускной способности, и, как следствие, улучшения гидрологического режима, при непосредственном участии администрации Петровского муниципального района Ставропольского края проведен ремонт ГТС и расчистка русел следующих водных объектов б. Донская Балка, б. </w:t>
      </w:r>
      <w:proofErr w:type="spellStart"/>
      <w:r w:rsidRPr="003F193C">
        <w:rPr>
          <w:szCs w:val="28"/>
        </w:rPr>
        <w:t>Кисличанская</w:t>
      </w:r>
      <w:proofErr w:type="spellEnd"/>
      <w:r w:rsidRPr="003F193C">
        <w:rPr>
          <w:szCs w:val="28"/>
        </w:rPr>
        <w:t xml:space="preserve">, р. Большая Просянка, р. Малая Просянка, р. Сухая Буйвола, р. Мокрая Буйвола, р. </w:t>
      </w:r>
      <w:proofErr w:type="spellStart"/>
      <w:r w:rsidRPr="003F193C">
        <w:rPr>
          <w:szCs w:val="28"/>
        </w:rPr>
        <w:t>Шведянка</w:t>
      </w:r>
      <w:proofErr w:type="spellEnd"/>
      <w:r w:rsidRPr="003F193C">
        <w:rPr>
          <w:szCs w:val="28"/>
        </w:rPr>
        <w:t>, р. села Николина Балка, р. Терновка на общую сумму 170 млн. руб.</w:t>
      </w:r>
      <w:r>
        <w:rPr>
          <w:szCs w:val="28"/>
        </w:rPr>
        <w:t>.</w:t>
      </w:r>
      <w:proofErr w:type="gramEnd"/>
    </w:p>
    <w:p w:rsidR="00B15ADC" w:rsidRDefault="00B15ADC" w:rsidP="00B15ADC">
      <w:pPr>
        <w:pStyle w:val="ConsPlusNormal"/>
        <w:ind w:firstLine="540"/>
        <w:jc w:val="both"/>
      </w:pPr>
      <w:r>
        <w:t xml:space="preserve">Формирование экологической культуры жителей Петровского </w:t>
      </w:r>
      <w:r w:rsidR="003B1EAF">
        <w:t>городского округа</w:t>
      </w:r>
      <w:r>
        <w:t xml:space="preserve"> Ставропольского края, повышение уровня экологического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B15ADC" w:rsidRDefault="00B15ADC" w:rsidP="00B15ADC">
      <w:pPr>
        <w:pStyle w:val="ConsPlusNormal"/>
        <w:ind w:firstLine="540"/>
        <w:jc w:val="both"/>
      </w:pPr>
      <w:r>
        <w:t>Проблема рационального использования природно-ресурсного потенциал</w:t>
      </w:r>
      <w:r w:rsidR="003B1EAF">
        <w:t xml:space="preserve">а и сохранения окружающей среды, </w:t>
      </w:r>
      <w:r>
        <w:t xml:space="preserve">как единого комплекса, является одной из первостепенных задач для обеспечения жизнедеятельности населения </w:t>
      </w:r>
      <w:r w:rsidR="003B1EAF">
        <w:t>округа</w:t>
      </w:r>
      <w:r>
        <w:t>.</w:t>
      </w:r>
    </w:p>
    <w:p w:rsidR="00B15ADC" w:rsidRDefault="00B15ADC" w:rsidP="00B15ADC">
      <w:pPr>
        <w:pStyle w:val="ConsPlusNormal"/>
        <w:ind w:firstLine="540"/>
        <w:jc w:val="both"/>
      </w:pPr>
      <w:r>
        <w:t>Основными экологическими проблемами на территории района являются:</w:t>
      </w:r>
    </w:p>
    <w:p w:rsidR="00B15ADC" w:rsidRDefault="00B15ADC" w:rsidP="00B15ADC">
      <w:pPr>
        <w:pStyle w:val="ConsPlusNormal"/>
        <w:ind w:firstLine="540"/>
        <w:jc w:val="both"/>
      </w:pPr>
      <w:r>
        <w:t>увеличение образования отходов производства и потребления;</w:t>
      </w:r>
    </w:p>
    <w:p w:rsidR="00B15ADC" w:rsidRDefault="00B15ADC" w:rsidP="00B15ADC">
      <w:pPr>
        <w:pStyle w:val="ConsPlusNormal"/>
        <w:ind w:firstLine="540"/>
        <w:jc w:val="both"/>
      </w:pPr>
      <w:r>
        <w:t>организация стихийных свалок;</w:t>
      </w:r>
    </w:p>
    <w:p w:rsidR="00B15ADC" w:rsidRDefault="00B15ADC" w:rsidP="00B15ADC">
      <w:pPr>
        <w:pStyle w:val="ConsPlusNormal"/>
        <w:ind w:firstLine="540"/>
        <w:jc w:val="both"/>
      </w:pPr>
      <w:r>
        <w:t>загрязнение атмосферного воздуха в результате выбросов от стационарных и передвижных источников загрязнения</w:t>
      </w:r>
      <w:r w:rsidR="0088294C">
        <w:t>, а также от выжигания сухой растительности</w:t>
      </w:r>
      <w:r w:rsidR="003B1EAF">
        <w:t>.</w:t>
      </w:r>
    </w:p>
    <w:p w:rsidR="00B00BBB" w:rsidRPr="00F52894" w:rsidRDefault="00B00BBB" w:rsidP="00B00BB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</w:p>
    <w:p w:rsidR="00E63DA2" w:rsidRPr="007B3442" w:rsidRDefault="00E63DA2" w:rsidP="00B00BBB">
      <w:pPr>
        <w:spacing w:after="0" w:line="240" w:lineRule="auto"/>
        <w:ind w:firstLine="709"/>
        <w:jc w:val="both"/>
        <w:rPr>
          <w:rFonts w:ascii="Times New Roman" w:eastAsia="Calibri" w:hAnsi="Times New Roman" w:cs="Tahoma"/>
          <w:sz w:val="28"/>
          <w:szCs w:val="28"/>
          <w:lang w:eastAsia="en-US"/>
        </w:rPr>
      </w:pPr>
    </w:p>
    <w:p w:rsidR="00B00BBB" w:rsidRDefault="00485B00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B00BBB">
        <w:rPr>
          <w:rFonts w:ascii="Times New Roman" w:hAnsi="Times New Roman" w:cs="Times New Roman"/>
          <w:sz w:val="28"/>
          <w:szCs w:val="28"/>
        </w:rPr>
        <w:t>Обоснование</w:t>
      </w:r>
    </w:p>
    <w:p w:rsidR="00B00BBB" w:rsidRDefault="00B00BBB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объемов бюджетных ассигнований бюджета Петровского муниципального района Ставропольского края на реализацию основных мероприятий м</w:t>
      </w:r>
      <w:r w:rsidRPr="00F52894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F52894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B00BBB" w:rsidRDefault="00B00BBB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00BBB" w:rsidRDefault="00B00BBB" w:rsidP="00B00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</w:t>
      </w:r>
      <w:r w:rsidRPr="00AC14D1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C14D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C14D1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E63DA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AC14D1">
        <w:rPr>
          <w:rFonts w:ascii="Times New Roman" w:hAnsi="Times New Roman" w:cs="Times New Roman"/>
          <w:sz w:val="28"/>
          <w:szCs w:val="28"/>
        </w:rPr>
        <w:t>Ставропольского края «</w:t>
      </w:r>
      <w:r w:rsidR="00B15ADC">
        <w:rPr>
          <w:rFonts w:ascii="Times New Roman" w:hAnsi="Times New Roman" w:cs="Times New Roman"/>
          <w:sz w:val="28"/>
          <w:szCs w:val="28"/>
        </w:rPr>
        <w:t>Охрана окружающей среды</w:t>
      </w:r>
      <w:r w:rsidRPr="00AC14D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 </w:t>
      </w:r>
      <w:r w:rsidRPr="00703575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B15ADC">
        <w:rPr>
          <w:rFonts w:ascii="Times New Roman" w:hAnsi="Times New Roman" w:cs="Times New Roman"/>
          <w:sz w:val="28"/>
          <w:szCs w:val="28"/>
        </w:rPr>
        <w:t>4</w:t>
      </w:r>
      <w:r w:rsidRPr="00703575">
        <w:rPr>
          <w:rFonts w:ascii="Times New Roman" w:hAnsi="Times New Roman" w:cs="Times New Roman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достижение поставленных целей. Финансовое обеспечение требуется для реализации </w:t>
      </w:r>
      <w:r w:rsidR="003B1EAF">
        <w:rPr>
          <w:rFonts w:ascii="Times New Roman" w:hAnsi="Times New Roman" w:cs="Times New Roman"/>
          <w:sz w:val="28"/>
          <w:szCs w:val="28"/>
        </w:rPr>
        <w:t>одного</w:t>
      </w:r>
      <w:r w:rsidR="00B15A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</w:t>
      </w:r>
      <w:r w:rsidR="00B15AD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B15AD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подпрограмм Программы.</w:t>
      </w:r>
      <w:r w:rsidR="00E22E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EAF" w:rsidRDefault="00E22E5E" w:rsidP="00B00B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00BBB">
        <w:rPr>
          <w:rFonts w:ascii="Times New Roman" w:hAnsi="Times New Roman" w:cs="Times New Roman"/>
          <w:sz w:val="28"/>
          <w:szCs w:val="28"/>
        </w:rPr>
        <w:t>бъем финансового обеспечения Программы составит</w:t>
      </w:r>
      <w:r w:rsidR="003B1EAF">
        <w:rPr>
          <w:rFonts w:ascii="Times New Roman" w:hAnsi="Times New Roman" w:cs="Times New Roman"/>
          <w:sz w:val="28"/>
          <w:szCs w:val="28"/>
        </w:rPr>
        <w:t xml:space="preserve"> 40332,9 тысяч рублей, в том числе по источникам финансового обеспечения:</w:t>
      </w:r>
    </w:p>
    <w:p w:rsidR="003B1EAF" w:rsidRDefault="003B1EAF" w:rsidP="003B1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 - 38316,25</w:t>
      </w:r>
      <w:r w:rsidRPr="00052B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тысяч рублей, в том числе по годам </w:t>
      </w:r>
    </w:p>
    <w:p w:rsidR="003B1EAF" w:rsidRPr="008060BD" w:rsidRDefault="003B1EAF" w:rsidP="003B1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2D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052B2D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38316,25 </w:t>
      </w:r>
      <w:r w:rsidRPr="008060BD">
        <w:rPr>
          <w:rFonts w:ascii="Times New Roman" w:hAnsi="Times New Roman"/>
          <w:sz w:val="28"/>
          <w:szCs w:val="28"/>
        </w:rPr>
        <w:t>тысяч рублей;</w:t>
      </w:r>
    </w:p>
    <w:p w:rsidR="003B1EAF" w:rsidRPr="008060BD" w:rsidRDefault="003B1EAF" w:rsidP="003B1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  <w:r w:rsidRPr="00052B2D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0 </w:t>
      </w:r>
      <w:r w:rsidRPr="008060BD">
        <w:rPr>
          <w:rFonts w:ascii="Times New Roman" w:hAnsi="Times New Roman"/>
          <w:sz w:val="28"/>
          <w:szCs w:val="28"/>
        </w:rPr>
        <w:t>тысяч рублей;</w:t>
      </w:r>
    </w:p>
    <w:p w:rsidR="003B1EAF" w:rsidRPr="00052B2D" w:rsidRDefault="003B1EAF" w:rsidP="003B1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2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052B2D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0 </w:t>
      </w:r>
      <w:r w:rsidRPr="008060BD">
        <w:rPr>
          <w:rFonts w:ascii="Times New Roman" w:hAnsi="Times New Roman"/>
          <w:sz w:val="28"/>
          <w:szCs w:val="28"/>
        </w:rPr>
        <w:t>тысяч рублей;</w:t>
      </w:r>
    </w:p>
    <w:p w:rsidR="003B1EAF" w:rsidRPr="008060BD" w:rsidRDefault="003B1EAF" w:rsidP="003B1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2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052B2D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0 </w:t>
      </w:r>
      <w:r w:rsidRPr="008060BD">
        <w:rPr>
          <w:rFonts w:ascii="Times New Roman" w:hAnsi="Times New Roman"/>
          <w:sz w:val="28"/>
          <w:szCs w:val="28"/>
        </w:rPr>
        <w:t>тысяч рублей;</w:t>
      </w:r>
    </w:p>
    <w:p w:rsidR="003B1EAF" w:rsidRPr="00052B2D" w:rsidRDefault="003B1EAF" w:rsidP="003B1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2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052B2D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0 </w:t>
      </w:r>
      <w:r w:rsidRPr="008060BD">
        <w:rPr>
          <w:rFonts w:ascii="Times New Roman" w:hAnsi="Times New Roman"/>
          <w:sz w:val="28"/>
          <w:szCs w:val="28"/>
        </w:rPr>
        <w:t>тысяч рублей;</w:t>
      </w:r>
    </w:p>
    <w:p w:rsidR="003B1EAF" w:rsidRDefault="003B1EAF" w:rsidP="003B1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2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052B2D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0 </w:t>
      </w:r>
      <w:r w:rsidRPr="008060BD">
        <w:rPr>
          <w:rFonts w:ascii="Times New Roman" w:hAnsi="Times New Roman"/>
          <w:sz w:val="28"/>
          <w:szCs w:val="28"/>
        </w:rPr>
        <w:t>тысяч рублей</w:t>
      </w:r>
      <w:r>
        <w:rPr>
          <w:rFonts w:ascii="Times New Roman" w:hAnsi="Times New Roman"/>
          <w:sz w:val="28"/>
          <w:szCs w:val="28"/>
        </w:rPr>
        <w:t>.</w:t>
      </w:r>
    </w:p>
    <w:p w:rsidR="00B00BBB" w:rsidRPr="003B1EAF" w:rsidRDefault="003B1EAF" w:rsidP="003B1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округа</w:t>
      </w:r>
      <w:r w:rsidR="00B00BBB">
        <w:rPr>
          <w:rFonts w:ascii="Times New Roman" w:hAnsi="Times New Roman" w:cs="Times New Roman"/>
          <w:sz w:val="28"/>
          <w:szCs w:val="28"/>
        </w:rPr>
        <w:t xml:space="preserve"> - </w:t>
      </w:r>
      <w:r w:rsidR="00B15ADC">
        <w:rPr>
          <w:rFonts w:ascii="Times New Roman" w:hAnsi="Times New Roman" w:cs="Times New Roman"/>
          <w:sz w:val="28"/>
          <w:szCs w:val="28"/>
        </w:rPr>
        <w:t>2016,65</w:t>
      </w:r>
      <w:r w:rsidR="00B00BBB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 </w:t>
      </w:r>
    </w:p>
    <w:p w:rsidR="00B00BBB" w:rsidRPr="008060BD" w:rsidRDefault="00E63DA2" w:rsidP="00B00B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  <w:r w:rsidR="00B00BBB" w:rsidRPr="008060BD">
        <w:rPr>
          <w:rFonts w:ascii="Times New Roman" w:hAnsi="Times New Roman"/>
          <w:sz w:val="28"/>
          <w:szCs w:val="28"/>
        </w:rPr>
        <w:t xml:space="preserve"> год – </w:t>
      </w:r>
      <w:r w:rsidR="00B15ADC">
        <w:rPr>
          <w:rFonts w:ascii="Times New Roman" w:hAnsi="Times New Roman"/>
          <w:sz w:val="28"/>
          <w:szCs w:val="28"/>
        </w:rPr>
        <w:t>2016,65</w:t>
      </w:r>
      <w:r w:rsidR="00B00BBB" w:rsidRPr="008060BD">
        <w:rPr>
          <w:rFonts w:ascii="Times New Roman" w:hAnsi="Times New Roman"/>
          <w:sz w:val="28"/>
          <w:szCs w:val="28"/>
        </w:rPr>
        <w:t xml:space="preserve"> тысяч рублей;</w:t>
      </w:r>
    </w:p>
    <w:p w:rsidR="00B00BBB" w:rsidRPr="008060BD" w:rsidRDefault="00E63DA2" w:rsidP="00B00B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  <w:r w:rsidR="00B00BBB" w:rsidRPr="008060BD">
        <w:rPr>
          <w:rFonts w:ascii="Times New Roman" w:hAnsi="Times New Roman"/>
          <w:sz w:val="28"/>
          <w:szCs w:val="28"/>
        </w:rPr>
        <w:t xml:space="preserve"> год – </w:t>
      </w:r>
      <w:r w:rsidR="00B15ADC">
        <w:rPr>
          <w:rFonts w:ascii="Times New Roman" w:hAnsi="Times New Roman"/>
          <w:sz w:val="28"/>
          <w:szCs w:val="28"/>
        </w:rPr>
        <w:t>0</w:t>
      </w:r>
      <w:r w:rsidR="00B00BBB" w:rsidRPr="008060BD">
        <w:rPr>
          <w:rFonts w:ascii="Times New Roman" w:hAnsi="Times New Roman"/>
          <w:sz w:val="28"/>
          <w:szCs w:val="28"/>
        </w:rPr>
        <w:t xml:space="preserve"> тысяч рублей;</w:t>
      </w:r>
    </w:p>
    <w:p w:rsidR="00B00BBB" w:rsidRPr="008060BD" w:rsidRDefault="00E63DA2" w:rsidP="00B00B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B00BBB" w:rsidRPr="008060BD">
        <w:rPr>
          <w:rFonts w:ascii="Times New Roman" w:hAnsi="Times New Roman"/>
          <w:sz w:val="28"/>
          <w:szCs w:val="28"/>
        </w:rPr>
        <w:t xml:space="preserve"> год – </w:t>
      </w:r>
      <w:r w:rsidR="00B15ADC">
        <w:rPr>
          <w:rFonts w:ascii="Times New Roman" w:hAnsi="Times New Roman"/>
          <w:sz w:val="28"/>
          <w:szCs w:val="28"/>
        </w:rPr>
        <w:t>0</w:t>
      </w:r>
      <w:r w:rsidR="00B00BBB" w:rsidRPr="008060BD">
        <w:rPr>
          <w:rFonts w:ascii="Times New Roman" w:hAnsi="Times New Roman"/>
          <w:sz w:val="28"/>
          <w:szCs w:val="28"/>
        </w:rPr>
        <w:t xml:space="preserve"> тысяч рублей;</w:t>
      </w:r>
    </w:p>
    <w:p w:rsidR="00B00BBB" w:rsidRPr="008060BD" w:rsidRDefault="00B00BBB" w:rsidP="00B00B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60BD">
        <w:rPr>
          <w:rFonts w:ascii="Times New Roman" w:hAnsi="Times New Roman"/>
          <w:sz w:val="28"/>
          <w:szCs w:val="28"/>
        </w:rPr>
        <w:t>20</w:t>
      </w:r>
      <w:r w:rsidR="00E63DA2">
        <w:rPr>
          <w:rFonts w:ascii="Times New Roman" w:hAnsi="Times New Roman"/>
          <w:sz w:val="28"/>
          <w:szCs w:val="28"/>
        </w:rPr>
        <w:t>21</w:t>
      </w:r>
      <w:r w:rsidRPr="008060BD">
        <w:rPr>
          <w:rFonts w:ascii="Times New Roman" w:hAnsi="Times New Roman"/>
          <w:sz w:val="28"/>
          <w:szCs w:val="28"/>
        </w:rPr>
        <w:t xml:space="preserve"> год – </w:t>
      </w:r>
      <w:r w:rsidR="00B15ADC">
        <w:rPr>
          <w:rFonts w:ascii="Times New Roman" w:hAnsi="Times New Roman"/>
          <w:sz w:val="28"/>
          <w:szCs w:val="28"/>
        </w:rPr>
        <w:t>0</w:t>
      </w:r>
      <w:r w:rsidRPr="008060BD">
        <w:rPr>
          <w:rFonts w:ascii="Times New Roman" w:hAnsi="Times New Roman"/>
          <w:sz w:val="28"/>
          <w:szCs w:val="28"/>
        </w:rPr>
        <w:t xml:space="preserve"> тысяч рублей,</w:t>
      </w:r>
    </w:p>
    <w:p w:rsidR="00B00BBB" w:rsidRPr="008060BD" w:rsidRDefault="00E63DA2" w:rsidP="00B00B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B00BBB" w:rsidRPr="008060BD">
        <w:rPr>
          <w:rFonts w:ascii="Times New Roman" w:hAnsi="Times New Roman"/>
          <w:sz w:val="28"/>
          <w:szCs w:val="28"/>
        </w:rPr>
        <w:t xml:space="preserve"> год - </w:t>
      </w:r>
      <w:r w:rsidR="00B15ADC">
        <w:rPr>
          <w:rFonts w:ascii="Times New Roman" w:hAnsi="Times New Roman"/>
          <w:sz w:val="28"/>
          <w:szCs w:val="28"/>
        </w:rPr>
        <w:t>0</w:t>
      </w:r>
      <w:r w:rsidR="00B00BBB" w:rsidRPr="008060BD">
        <w:rPr>
          <w:rFonts w:ascii="Times New Roman" w:hAnsi="Times New Roman"/>
          <w:sz w:val="28"/>
          <w:szCs w:val="28"/>
        </w:rPr>
        <w:t xml:space="preserve"> тысяч рублей;</w:t>
      </w:r>
    </w:p>
    <w:p w:rsidR="00B00BBB" w:rsidRDefault="00E63DA2" w:rsidP="00B00B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="00B00BBB" w:rsidRPr="008060BD">
        <w:rPr>
          <w:rFonts w:ascii="Times New Roman" w:hAnsi="Times New Roman"/>
          <w:sz w:val="28"/>
          <w:szCs w:val="28"/>
        </w:rPr>
        <w:t xml:space="preserve"> год - </w:t>
      </w:r>
      <w:r w:rsidR="00B15ADC">
        <w:rPr>
          <w:rFonts w:ascii="Times New Roman" w:hAnsi="Times New Roman"/>
          <w:sz w:val="28"/>
          <w:szCs w:val="28"/>
        </w:rPr>
        <w:t>0</w:t>
      </w:r>
      <w:r w:rsidR="00B00BBB" w:rsidRPr="008060BD">
        <w:rPr>
          <w:rFonts w:ascii="Times New Roman" w:hAnsi="Times New Roman"/>
          <w:sz w:val="28"/>
          <w:szCs w:val="28"/>
        </w:rPr>
        <w:t xml:space="preserve"> тысяч рублей</w:t>
      </w:r>
      <w:r w:rsidR="00B00BBB">
        <w:rPr>
          <w:rFonts w:ascii="Times New Roman" w:hAnsi="Times New Roman"/>
          <w:sz w:val="28"/>
          <w:szCs w:val="28"/>
        </w:rPr>
        <w:t>,</w:t>
      </w:r>
    </w:p>
    <w:p w:rsidR="00B00BBB" w:rsidRPr="006A437B" w:rsidRDefault="00B00BBB" w:rsidP="00B00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4D1">
        <w:rPr>
          <w:rFonts w:ascii="Times New Roman" w:hAnsi="Times New Roman" w:cs="Times New Roman"/>
          <w:sz w:val="28"/>
          <w:szCs w:val="28"/>
        </w:rPr>
        <w:t xml:space="preserve">Сведения о выпадающих доходах бюджета </w:t>
      </w:r>
      <w:r w:rsidR="003B1EAF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AC14D1">
        <w:rPr>
          <w:rFonts w:ascii="Times New Roman" w:hAnsi="Times New Roman" w:cs="Times New Roman"/>
          <w:sz w:val="28"/>
          <w:szCs w:val="28"/>
        </w:rPr>
        <w:t xml:space="preserve">на момент разработки проекта Программы отсутствуют. </w:t>
      </w:r>
    </w:p>
    <w:p w:rsidR="006A437B" w:rsidRPr="006A437B" w:rsidRDefault="00C1318D" w:rsidP="006A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18D">
        <w:rPr>
          <w:rFonts w:ascii="Times New Roman" w:hAnsi="Times New Roman" w:cs="Times New Roman"/>
          <w:sz w:val="28"/>
          <w:szCs w:val="28"/>
        </w:rPr>
        <w:t xml:space="preserve">Обоснование планируемых объемов ресурсов на реализацию </w:t>
      </w:r>
      <w:r w:rsidR="00525B07">
        <w:rPr>
          <w:rFonts w:ascii="Times New Roman" w:hAnsi="Times New Roman" w:cs="Times New Roman"/>
          <w:sz w:val="28"/>
          <w:szCs w:val="28"/>
        </w:rPr>
        <w:t>П</w:t>
      </w:r>
      <w:r w:rsidR="006A437B" w:rsidRPr="006A437B">
        <w:rPr>
          <w:rFonts w:ascii="Times New Roman" w:hAnsi="Times New Roman" w:cs="Times New Roman"/>
          <w:sz w:val="28"/>
          <w:szCs w:val="28"/>
        </w:rPr>
        <w:t>рограммы</w:t>
      </w:r>
      <w:r w:rsidR="006A437B">
        <w:rPr>
          <w:rFonts w:ascii="Times New Roman" w:hAnsi="Times New Roman" w:cs="Times New Roman"/>
          <w:sz w:val="28"/>
          <w:szCs w:val="28"/>
        </w:rPr>
        <w:t xml:space="preserve"> приведено в Приложении 1.</w:t>
      </w:r>
    </w:p>
    <w:p w:rsidR="00B00BBB" w:rsidRDefault="00B00BBB" w:rsidP="00B00BBB">
      <w:pPr>
        <w:pStyle w:val="a3"/>
        <w:ind w:firstLine="708"/>
        <w:jc w:val="both"/>
        <w:rPr>
          <w:szCs w:val="28"/>
        </w:rPr>
      </w:pPr>
      <w:r w:rsidRPr="00C1318D">
        <w:rPr>
          <w:szCs w:val="28"/>
        </w:rPr>
        <w:t xml:space="preserve">Поддержка инновационной деятельности за счет </w:t>
      </w:r>
      <w:proofErr w:type="gramStart"/>
      <w:r w:rsidRPr="00C1318D">
        <w:rPr>
          <w:szCs w:val="28"/>
        </w:rPr>
        <w:t>о</w:t>
      </w:r>
      <w:proofErr w:type="gramEnd"/>
      <w:r w:rsidRPr="00C1318D">
        <w:rPr>
          <w:szCs w:val="28"/>
        </w:rPr>
        <w:t xml:space="preserve"> </w:t>
      </w:r>
      <w:proofErr w:type="gramStart"/>
      <w:r w:rsidRPr="00C1318D">
        <w:rPr>
          <w:szCs w:val="28"/>
        </w:rPr>
        <w:t>бюджета</w:t>
      </w:r>
      <w:proofErr w:type="gramEnd"/>
      <w:r w:rsidR="003B1EAF">
        <w:rPr>
          <w:szCs w:val="28"/>
        </w:rPr>
        <w:t xml:space="preserve"> округа</w:t>
      </w:r>
      <w:r w:rsidRPr="00C1318D">
        <w:rPr>
          <w:szCs w:val="28"/>
        </w:rPr>
        <w:t xml:space="preserve"> в рамках реализации </w:t>
      </w:r>
      <w:r w:rsidR="00525B07">
        <w:rPr>
          <w:szCs w:val="28"/>
        </w:rPr>
        <w:t>П</w:t>
      </w:r>
      <w:r w:rsidRPr="00C1318D">
        <w:rPr>
          <w:szCs w:val="28"/>
        </w:rPr>
        <w:t>рограммы не предусмотрена.</w:t>
      </w:r>
    </w:p>
    <w:p w:rsidR="00B00BBB" w:rsidRDefault="00B00BBB" w:rsidP="004E142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85B00" w:rsidRPr="00485B00" w:rsidRDefault="00485B00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</w:t>
      </w:r>
      <w:r w:rsidRPr="00485B00">
        <w:t xml:space="preserve"> </w:t>
      </w:r>
      <w:r w:rsidRPr="00485B0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ведения </w:t>
      </w:r>
      <w:r w:rsidRPr="00485B00">
        <w:rPr>
          <w:rFonts w:ascii="Times New Roman" w:hAnsi="Times New Roman" w:cs="Times New Roman"/>
          <w:sz w:val="28"/>
          <w:szCs w:val="28"/>
        </w:rPr>
        <w:t>об основных мерах правового регулирования</w:t>
      </w:r>
    </w:p>
    <w:p w:rsidR="00B00BBB" w:rsidRDefault="00485B00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85B00">
        <w:rPr>
          <w:rFonts w:ascii="Times New Roman" w:hAnsi="Times New Roman" w:cs="Times New Roman"/>
          <w:sz w:val="28"/>
          <w:szCs w:val="28"/>
        </w:rPr>
        <w:t xml:space="preserve">в сфере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485B00">
        <w:rPr>
          <w:rFonts w:ascii="Times New Roman" w:hAnsi="Times New Roman" w:cs="Times New Roman"/>
          <w:sz w:val="28"/>
          <w:szCs w:val="28"/>
        </w:rPr>
        <w:t>рограммы</w:t>
      </w:r>
    </w:p>
    <w:p w:rsidR="003B1EAF" w:rsidRDefault="003B1EAF" w:rsidP="003B1EAF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EAF" w:rsidRPr="006A437B" w:rsidRDefault="009935DE" w:rsidP="003B1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2536" w:history="1">
        <w:r w:rsidR="003B1EAF" w:rsidRPr="006A437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Сведения</w:t>
        </w:r>
      </w:hyperlink>
      <w:r w:rsidR="003B1EAF" w:rsidRPr="006A437B">
        <w:rPr>
          <w:rFonts w:ascii="Times New Roman" w:hAnsi="Times New Roman" w:cs="Times New Roman"/>
          <w:sz w:val="28"/>
          <w:szCs w:val="28"/>
        </w:rPr>
        <w:t xml:space="preserve"> об основных мерах правового регулирования в сфере реализации Программы приведены в Приложении 2.</w:t>
      </w:r>
    </w:p>
    <w:p w:rsidR="003B1EAF" w:rsidRDefault="003B1EAF" w:rsidP="003B1EAF">
      <w:pPr>
        <w:widowControl w:val="0"/>
        <w:autoSpaceDE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965E4" w:rsidRPr="00C965E4" w:rsidRDefault="00C965E4" w:rsidP="00706C80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4. Сведения </w:t>
      </w:r>
      <w:r w:rsidRPr="006E6E23">
        <w:rPr>
          <w:rFonts w:ascii="Times New Roman" w:eastAsia="Times New Roman" w:hAnsi="Times New Roman" w:cs="Times New Roman"/>
          <w:sz w:val="28"/>
          <w:szCs w:val="28"/>
        </w:rPr>
        <w:t xml:space="preserve">об источнике информации и методике </w:t>
      </w:r>
      <w:proofErr w:type="gramStart"/>
      <w:r w:rsidRPr="006E6E23">
        <w:rPr>
          <w:rFonts w:ascii="Times New Roman" w:eastAsia="Times New Roman" w:hAnsi="Times New Roman" w:cs="Times New Roman"/>
          <w:sz w:val="28"/>
          <w:szCs w:val="28"/>
        </w:rPr>
        <w:t>расчета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E23">
        <w:rPr>
          <w:rFonts w:ascii="Times New Roman" w:eastAsia="Times New Roman" w:hAnsi="Times New Roman" w:cs="Times New Roman"/>
          <w:sz w:val="28"/>
          <w:szCs w:val="28"/>
        </w:rPr>
        <w:t xml:space="preserve">индикаторов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proofErr w:type="gramEnd"/>
      <w:r w:rsidRPr="006E6E23">
        <w:rPr>
          <w:rFonts w:ascii="Times New Roman" w:eastAsia="Times New Roman" w:hAnsi="Times New Roman" w:cs="Times New Roman"/>
          <w:sz w:val="28"/>
          <w:szCs w:val="28"/>
        </w:rPr>
        <w:t xml:space="preserve"> и показателей решения задач подпрограмм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965E4" w:rsidRDefault="00C965E4" w:rsidP="00706C80">
      <w:pPr>
        <w:pStyle w:val="ConsPlusNormal"/>
        <w:spacing w:line="240" w:lineRule="exact"/>
        <w:ind w:firstLine="540"/>
        <w:jc w:val="both"/>
      </w:pPr>
    </w:p>
    <w:p w:rsidR="00C965E4" w:rsidRDefault="009935DE" w:rsidP="00C965E4">
      <w:pPr>
        <w:pStyle w:val="ConsPlusNormal"/>
        <w:ind w:firstLine="540"/>
        <w:jc w:val="both"/>
      </w:pPr>
      <w:hyperlink w:anchor="P1307" w:history="1">
        <w:r w:rsidR="00C965E4" w:rsidRPr="00226073">
          <w:t>Сведения</w:t>
        </w:r>
      </w:hyperlink>
      <w:r w:rsidR="00C965E4" w:rsidRPr="00226073">
        <w:t xml:space="preserve"> о формах государственного (федерального) статистического наблюдения, о методиках </w:t>
      </w:r>
      <w:proofErr w:type="gramStart"/>
      <w:r w:rsidR="00C965E4" w:rsidRPr="00226073">
        <w:t xml:space="preserve">расчета значений индикаторов достижения целей </w:t>
      </w:r>
      <w:r w:rsidR="00525B07">
        <w:t>П</w:t>
      </w:r>
      <w:r w:rsidR="00C965E4" w:rsidRPr="00226073">
        <w:t>рограммы</w:t>
      </w:r>
      <w:proofErr w:type="gramEnd"/>
      <w:r w:rsidR="00C965E4" w:rsidRPr="00226073">
        <w:t xml:space="preserve"> </w:t>
      </w:r>
      <w:r w:rsidR="00C965E4">
        <w:t xml:space="preserve">и </w:t>
      </w:r>
      <w:r w:rsidR="00C965E4" w:rsidRPr="00226073">
        <w:t>показа</w:t>
      </w:r>
      <w:r w:rsidR="00C965E4">
        <w:t>телей решения задач подпрограмм</w:t>
      </w:r>
      <w:r w:rsidR="00C965E4" w:rsidRPr="00226073">
        <w:t xml:space="preserve"> </w:t>
      </w:r>
      <w:r w:rsidR="00525B07">
        <w:t xml:space="preserve">Программы </w:t>
      </w:r>
      <w:r w:rsidR="00C965E4" w:rsidRPr="00226073">
        <w:t>представл</w:t>
      </w:r>
      <w:r w:rsidR="00C965E4">
        <w:t xml:space="preserve">ены в </w:t>
      </w:r>
      <w:r w:rsidR="00C1318D">
        <w:t>П</w:t>
      </w:r>
      <w:r w:rsidR="00C965E4" w:rsidRPr="00226073">
        <w:t>риложени</w:t>
      </w:r>
      <w:r w:rsidR="00C965E4">
        <w:t>и</w:t>
      </w:r>
      <w:r w:rsidR="00C965E4" w:rsidRPr="00226073">
        <w:t xml:space="preserve"> </w:t>
      </w:r>
      <w:r w:rsidR="00C1318D">
        <w:t xml:space="preserve">3. </w:t>
      </w:r>
    </w:p>
    <w:p w:rsidR="00C1318D" w:rsidRDefault="00C1318D" w:rsidP="00706C80">
      <w:pPr>
        <w:pStyle w:val="ConsPlusNormal"/>
        <w:spacing w:line="240" w:lineRule="exact"/>
        <w:ind w:firstLine="539"/>
        <w:jc w:val="both"/>
      </w:pPr>
    </w:p>
    <w:p w:rsidR="00C965E4" w:rsidRDefault="00C965E4" w:rsidP="00706C80">
      <w:pPr>
        <w:pStyle w:val="ConsPlusNormal"/>
        <w:spacing w:line="240" w:lineRule="exact"/>
        <w:ind w:firstLine="539"/>
        <w:jc w:val="center"/>
      </w:pPr>
      <w:r>
        <w:t xml:space="preserve">Раздел 5. </w:t>
      </w:r>
      <w:r w:rsidRPr="00226073">
        <w:t xml:space="preserve">Основные параметры потребности в трудовых ресурсах для реализации </w:t>
      </w:r>
      <w:r>
        <w:t>муниципальной п</w:t>
      </w:r>
      <w:r w:rsidRPr="00226073">
        <w:t>рограммы</w:t>
      </w:r>
    </w:p>
    <w:p w:rsidR="00C965E4" w:rsidRPr="00226073" w:rsidRDefault="00C965E4" w:rsidP="00706C80">
      <w:pPr>
        <w:pStyle w:val="ConsPlusNormal"/>
        <w:spacing w:line="240" w:lineRule="exact"/>
        <w:ind w:firstLine="539"/>
        <w:jc w:val="center"/>
      </w:pPr>
    </w:p>
    <w:p w:rsidR="00C1318D" w:rsidRDefault="00C965E4" w:rsidP="00C13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1318D">
        <w:rPr>
          <w:rFonts w:ascii="Times New Roman" w:hAnsi="Times New Roman" w:cs="Times New Roman"/>
          <w:sz w:val="28"/>
          <w:szCs w:val="28"/>
        </w:rPr>
        <w:t>Д</w:t>
      </w:r>
      <w:r w:rsidR="00C1318D" w:rsidRPr="00C1318D">
        <w:rPr>
          <w:rFonts w:ascii="Times New Roman" w:hAnsi="Times New Roman" w:cs="Times New Roman"/>
          <w:sz w:val="28"/>
          <w:szCs w:val="28"/>
        </w:rPr>
        <w:t xml:space="preserve">ля реализации </w:t>
      </w:r>
      <w:r w:rsidR="00525B07">
        <w:rPr>
          <w:rFonts w:ascii="Times New Roman" w:hAnsi="Times New Roman" w:cs="Times New Roman"/>
          <w:sz w:val="28"/>
          <w:szCs w:val="28"/>
        </w:rPr>
        <w:t>П</w:t>
      </w:r>
      <w:r w:rsidR="00C1318D" w:rsidRPr="00C1318D">
        <w:rPr>
          <w:rFonts w:ascii="Times New Roman" w:hAnsi="Times New Roman" w:cs="Times New Roman"/>
          <w:sz w:val="28"/>
          <w:szCs w:val="28"/>
        </w:rPr>
        <w:t>рограммы</w:t>
      </w:r>
      <w:r w:rsidR="00C131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318D">
        <w:rPr>
          <w:rFonts w:ascii="Times New Roman" w:hAnsi="Times New Roman" w:cs="Times New Roman"/>
          <w:sz w:val="28"/>
          <w:szCs w:val="28"/>
        </w:rPr>
        <w:t>достаточно штатной</w:t>
      </w:r>
      <w:proofErr w:type="gramEnd"/>
      <w:r w:rsidR="00C1318D">
        <w:rPr>
          <w:rFonts w:ascii="Times New Roman" w:hAnsi="Times New Roman" w:cs="Times New Roman"/>
          <w:sz w:val="28"/>
          <w:szCs w:val="28"/>
        </w:rPr>
        <w:t xml:space="preserve"> численности ответственного исполнителя и соисполнителей муниципальной программы. </w:t>
      </w:r>
    </w:p>
    <w:p w:rsidR="00D03BA1" w:rsidRDefault="005173B9" w:rsidP="00C131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в п</w:t>
      </w:r>
      <w:r w:rsidR="00C1318D">
        <w:rPr>
          <w:rFonts w:ascii="Times New Roman" w:hAnsi="Times New Roman" w:cs="Times New Roman"/>
          <w:sz w:val="28"/>
          <w:szCs w:val="28"/>
        </w:rPr>
        <w:t>ривлечени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1318D">
        <w:rPr>
          <w:rFonts w:ascii="Times New Roman" w:hAnsi="Times New Roman" w:cs="Times New Roman"/>
          <w:sz w:val="28"/>
          <w:szCs w:val="28"/>
        </w:rPr>
        <w:t xml:space="preserve"> специалистов </w:t>
      </w:r>
      <w:r w:rsidR="00C1318D" w:rsidRPr="00C1318D">
        <w:rPr>
          <w:rFonts w:ascii="Times New Roman" w:hAnsi="Times New Roman" w:cs="Times New Roman"/>
          <w:sz w:val="28"/>
          <w:szCs w:val="28"/>
        </w:rPr>
        <w:t xml:space="preserve">инженерно-технических специальностей для реализации </w:t>
      </w:r>
      <w:r w:rsidR="00525B0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отсутствует.</w:t>
      </w: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6A437B" w:rsidSect="004E1421">
          <w:pgSz w:w="11906" w:h="16838"/>
          <w:pgMar w:top="1134" w:right="624" w:bottom="1134" w:left="1985" w:header="709" w:footer="709" w:gutter="0"/>
          <w:cols w:space="708"/>
          <w:docGrid w:linePitch="360"/>
        </w:sectPr>
      </w:pPr>
    </w:p>
    <w:p w:rsidR="006A437B" w:rsidRDefault="006A437B" w:rsidP="006A437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A437B" w:rsidRDefault="006A437B" w:rsidP="006A4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</w:t>
      </w:r>
    </w:p>
    <w:p w:rsidR="006A437B" w:rsidRDefault="00C1318D" w:rsidP="00C13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318D">
        <w:rPr>
          <w:rFonts w:ascii="Times New Roman" w:hAnsi="Times New Roman" w:cs="Times New Roman"/>
          <w:sz w:val="28"/>
          <w:szCs w:val="28"/>
        </w:rPr>
        <w:t xml:space="preserve">планируемых объемов ресурсов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1318D" w:rsidRDefault="00C1318D" w:rsidP="00C13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713"/>
        <w:gridCol w:w="3256"/>
        <w:gridCol w:w="7371"/>
        <w:gridCol w:w="3686"/>
      </w:tblGrid>
      <w:tr w:rsidR="00E22E5E" w:rsidRPr="005173B9" w:rsidTr="00525B07">
        <w:trPr>
          <w:trHeight w:val="1355"/>
        </w:trPr>
        <w:tc>
          <w:tcPr>
            <w:tcW w:w="713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6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 подпрограммы Программы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планируемых ресурсов с учетом прогнозируемого уровня инфляции и иных факторов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3B1E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средств бюджета Петровского </w:t>
            </w:r>
            <w:r w:rsidR="00B15AD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Ставропольского края (далее - бюджет</w:t>
            </w:r>
            <w:r w:rsidR="003B1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</w:t>
            </w:r>
          </w:p>
        </w:tc>
      </w:tr>
      <w:tr w:rsidR="00E22E5E" w:rsidRPr="005173B9" w:rsidTr="00525B07">
        <w:trPr>
          <w:trHeight w:val="111"/>
        </w:trPr>
        <w:tc>
          <w:tcPr>
            <w:tcW w:w="713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73B9" w:rsidRPr="005173B9" w:rsidTr="00525B07">
        <w:tc>
          <w:tcPr>
            <w:tcW w:w="713" w:type="dxa"/>
            <w:tcMar>
              <w:top w:w="0" w:type="dxa"/>
              <w:bottom w:w="0" w:type="dxa"/>
            </w:tcMar>
          </w:tcPr>
          <w:p w:rsidR="005173B9" w:rsidRPr="005173B9" w:rsidRDefault="005173B9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3" w:type="dxa"/>
            <w:gridSpan w:val="3"/>
            <w:tcMar>
              <w:top w:w="0" w:type="dxa"/>
              <w:bottom w:w="0" w:type="dxa"/>
            </w:tcMar>
          </w:tcPr>
          <w:p w:rsidR="005173B9" w:rsidRPr="005173B9" w:rsidRDefault="00B25FC0" w:rsidP="00B15A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</w:t>
            </w:r>
            <w:r w:rsidR="005173B9" w:rsidRPr="0051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рограмма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Петровского городского округа </w:t>
            </w:r>
            <w:r w:rsidR="005173B9" w:rsidRPr="0051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15A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Охрана окружающей среды</w:t>
            </w:r>
            <w:r w:rsidR="005173B9" w:rsidRPr="0051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5173B9" w:rsidRPr="005173B9" w:rsidTr="00525B07">
        <w:tc>
          <w:tcPr>
            <w:tcW w:w="713" w:type="dxa"/>
            <w:tcMar>
              <w:top w:w="0" w:type="dxa"/>
              <w:bottom w:w="0" w:type="dxa"/>
            </w:tcMar>
          </w:tcPr>
          <w:p w:rsidR="005173B9" w:rsidRPr="005173B9" w:rsidRDefault="00E63DA2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73B9"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5173B9" w:rsidRPr="005173B9" w:rsidRDefault="00B15ADC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санитарно-эпидемиологического благополучия населения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vAlign w:val="bottom"/>
          </w:tcPr>
          <w:p w:rsidR="005173B9" w:rsidRPr="00B15ADC" w:rsidRDefault="00B15ADC" w:rsidP="003B1E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Ожидаемым результатом выполнения основного мероприятия Подпрограммы является выполнение работ по объекту «Рекультивация несанкционированной свалки в </w:t>
            </w:r>
            <w:proofErr w:type="gramStart"/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. Светлограде» Для выполнения данного мероприятия за счет средств бюджета</w:t>
            </w:r>
            <w:r w:rsidR="003B1EAF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 xml:space="preserve"> в 2018 году необходимо 2016,65 тысяч рублей, а также привлеченных средств из краевого бюджета 38316,25 тысяч рублей.</w:t>
            </w:r>
          </w:p>
        </w:tc>
        <w:tc>
          <w:tcPr>
            <w:tcW w:w="3686" w:type="dxa"/>
            <w:tcMar>
              <w:top w:w="0" w:type="dxa"/>
              <w:bottom w:w="0" w:type="dxa"/>
            </w:tcMar>
          </w:tcPr>
          <w:p w:rsidR="005173B9" w:rsidRPr="005173B9" w:rsidRDefault="00B15ADC" w:rsidP="00B15A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2018 году 40332,90 тысяч рублей </w:t>
            </w:r>
          </w:p>
        </w:tc>
      </w:tr>
    </w:tbl>
    <w:p w:rsidR="005173B9" w:rsidRDefault="005173B9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3DA2" w:rsidRDefault="00E63DA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3DA2" w:rsidRDefault="00E63DA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3DA2" w:rsidRDefault="00E63DA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3DA2" w:rsidRDefault="00E63DA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3DA2" w:rsidRDefault="00E63DA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3DA2" w:rsidRDefault="00E63DA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3DA2" w:rsidRDefault="00E63DA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3DA2" w:rsidRDefault="00E63DA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3DA2" w:rsidRDefault="00E63DA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3DA2" w:rsidRDefault="00E63DA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3DA2" w:rsidRDefault="00E63DA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3B9" w:rsidRDefault="005173B9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3074" w:rsidRDefault="00C23074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3074" w:rsidRDefault="00C23074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6FB5" w:rsidRDefault="00E66FB5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6FB5" w:rsidRDefault="00E66FB5" w:rsidP="00E66F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E66FB5" w:rsidRPr="00226073" w:rsidRDefault="00E66FB5" w:rsidP="00E66FB5">
      <w:pPr>
        <w:pStyle w:val="ConsPlusNormal"/>
        <w:jc w:val="center"/>
      </w:pPr>
      <w:r w:rsidRPr="00226073">
        <w:t>СВЕДЕНИЯ</w:t>
      </w:r>
    </w:p>
    <w:p w:rsidR="00E66FB5" w:rsidRPr="00226073" w:rsidRDefault="00E66FB5" w:rsidP="00E66FB5">
      <w:pPr>
        <w:pStyle w:val="ConsPlusNormal"/>
        <w:jc w:val="center"/>
      </w:pPr>
      <w:r w:rsidRPr="00226073">
        <w:t>об основных мерах правового регулирования</w:t>
      </w:r>
    </w:p>
    <w:p w:rsidR="00E66FB5" w:rsidRPr="00226073" w:rsidRDefault="00E66FB5" w:rsidP="00E66FB5">
      <w:pPr>
        <w:pStyle w:val="ConsPlusNormal"/>
        <w:jc w:val="center"/>
      </w:pPr>
      <w:r w:rsidRPr="00226073">
        <w:t xml:space="preserve">в сфере реализации </w:t>
      </w:r>
      <w:r>
        <w:t>муниципальной программы</w:t>
      </w:r>
    </w:p>
    <w:p w:rsidR="00E66FB5" w:rsidRPr="00226073" w:rsidRDefault="00E66FB5" w:rsidP="00E66FB5">
      <w:pPr>
        <w:pStyle w:val="ConsPlusNormal"/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502"/>
        <w:gridCol w:w="2553"/>
        <w:gridCol w:w="5025"/>
        <w:gridCol w:w="2758"/>
        <w:gridCol w:w="4188"/>
      </w:tblGrid>
      <w:tr w:rsidR="00E66FB5" w:rsidRPr="005173B9" w:rsidTr="00B04C26"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№ </w:t>
            </w:r>
          </w:p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proofErr w:type="spellStart"/>
            <w:proofErr w:type="gramStart"/>
            <w:r w:rsidRPr="005173B9">
              <w:rPr>
                <w:sz w:val="24"/>
              </w:rPr>
              <w:t>п</w:t>
            </w:r>
            <w:proofErr w:type="spellEnd"/>
            <w:proofErr w:type="gramEnd"/>
            <w:r w:rsidRPr="005173B9">
              <w:rPr>
                <w:sz w:val="24"/>
              </w:rPr>
              <w:t>/</w:t>
            </w:r>
            <w:proofErr w:type="spellStart"/>
            <w:r w:rsidRPr="005173B9">
              <w:rPr>
                <w:sz w:val="24"/>
              </w:rPr>
              <w:t>п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Вид нормативного правового акта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Основные положения нормативного правового акта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Ожидаемые сроки принятия нормативного правового акта</w:t>
            </w:r>
          </w:p>
        </w:tc>
      </w:tr>
      <w:tr w:rsidR="00E66FB5" w:rsidRPr="005173B9" w:rsidTr="00B04C26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2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3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4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5</w:t>
            </w:r>
          </w:p>
        </w:tc>
      </w:tr>
      <w:tr w:rsidR="00E66FB5" w:rsidRPr="005173B9" w:rsidTr="00B04C26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</w:p>
        </w:tc>
        <w:tc>
          <w:tcPr>
            <w:tcW w:w="145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B25FC0" w:rsidP="00E66FB5">
            <w:pPr>
              <w:pStyle w:val="ConsPlusNormal"/>
              <w:jc w:val="center"/>
              <w:rPr>
                <w:b/>
                <w:sz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Муниципальная п</w:t>
            </w:r>
            <w:r w:rsidRPr="005173B9">
              <w:rPr>
                <w:rFonts w:eastAsia="Times New Roman"/>
                <w:b/>
                <w:sz w:val="24"/>
                <w:szCs w:val="24"/>
              </w:rPr>
              <w:t>рограмма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Петровского городского округа </w:t>
            </w:r>
            <w:r w:rsidRPr="005173B9">
              <w:rPr>
                <w:rFonts w:eastAsia="Times New Roman"/>
                <w:b/>
                <w:sz w:val="24"/>
                <w:szCs w:val="24"/>
              </w:rPr>
              <w:t>«</w:t>
            </w:r>
            <w:r>
              <w:rPr>
                <w:rFonts w:eastAsia="Times New Roman"/>
                <w:b/>
                <w:sz w:val="24"/>
                <w:szCs w:val="24"/>
              </w:rPr>
              <w:t>Охрана окружающей среды</w:t>
            </w:r>
            <w:r w:rsidRPr="005173B9">
              <w:rPr>
                <w:rFonts w:eastAsia="Times New Roman"/>
                <w:b/>
                <w:sz w:val="24"/>
                <w:szCs w:val="24"/>
              </w:rPr>
              <w:t>»</w:t>
            </w:r>
          </w:p>
        </w:tc>
      </w:tr>
      <w:tr w:rsidR="00E66FB5" w:rsidRPr="005173B9" w:rsidTr="00B04C26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E66FB5" w:rsidP="00E66FB5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E66FB5" w:rsidP="00B04C26">
            <w:pPr>
              <w:pStyle w:val="ConsPlusNormal"/>
              <w:jc w:val="both"/>
              <w:rPr>
                <w:sz w:val="24"/>
              </w:rPr>
            </w:pPr>
            <w:r w:rsidRPr="005173B9">
              <w:rPr>
                <w:sz w:val="24"/>
              </w:rPr>
              <w:t xml:space="preserve">Постановление администрации 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E66FB5" w:rsidRDefault="00E66FB5" w:rsidP="00E66FB5">
            <w:pPr>
              <w:pStyle w:val="ConsPlusNormal"/>
              <w:jc w:val="both"/>
              <w:rPr>
                <w:sz w:val="24"/>
                <w:szCs w:val="24"/>
              </w:rPr>
            </w:pPr>
            <w:r w:rsidRPr="00E66FB5">
              <w:rPr>
                <w:sz w:val="24"/>
                <w:szCs w:val="24"/>
              </w:rPr>
              <w:t>Утверждение регламента предоставления муниципальной услуги</w:t>
            </w:r>
            <w:r>
              <w:rPr>
                <w:rStyle w:val="apple-converted-space"/>
                <w:sz w:val="24"/>
                <w:szCs w:val="24"/>
              </w:rPr>
              <w:t xml:space="preserve"> </w:t>
            </w:r>
            <w:r w:rsidRPr="00E66FB5">
              <w:rPr>
                <w:sz w:val="24"/>
                <w:szCs w:val="24"/>
              </w:rPr>
              <w:t>«Организация общественных обсуждений среди населения о намечаемой хозяйственной и иной деятельности, которая подлежит экологической экспертизе».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отдел </w:t>
            </w:r>
            <w:r>
              <w:rPr>
                <w:sz w:val="24"/>
              </w:rPr>
              <w:t>сельского хозяйства и охраны окружающей среды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  <w:lang w:val="en-US"/>
              </w:rPr>
              <w:t>I</w:t>
            </w:r>
            <w:r>
              <w:rPr>
                <w:sz w:val="24"/>
                <w:lang w:val="en-US"/>
              </w:rPr>
              <w:t>I</w:t>
            </w:r>
            <w:r w:rsidRPr="005173B9">
              <w:rPr>
                <w:sz w:val="24"/>
              </w:rPr>
              <w:t xml:space="preserve"> квартал 201</w:t>
            </w:r>
            <w:r>
              <w:rPr>
                <w:sz w:val="24"/>
              </w:rPr>
              <w:t>8 г.</w:t>
            </w:r>
          </w:p>
        </w:tc>
      </w:tr>
      <w:tr w:rsidR="00E66FB5" w:rsidRPr="005173B9" w:rsidTr="00E66FB5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E66FB5" w:rsidP="00E66FB5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E66FB5" w:rsidP="00B04C26">
            <w:pPr>
              <w:pStyle w:val="ConsPlusNormal"/>
              <w:jc w:val="both"/>
              <w:rPr>
                <w:rFonts w:eastAsia="Cambria"/>
                <w:bCs/>
                <w:sz w:val="24"/>
              </w:rPr>
            </w:pPr>
            <w:r>
              <w:rPr>
                <w:rFonts w:eastAsia="Cambria"/>
                <w:bCs/>
                <w:sz w:val="24"/>
              </w:rPr>
              <w:t>Постановление администрации</w:t>
            </w:r>
            <w:r w:rsidRPr="005173B9">
              <w:rPr>
                <w:rFonts w:eastAsia="Cambria"/>
                <w:bCs/>
                <w:sz w:val="24"/>
              </w:rPr>
              <w:t xml:space="preserve"> 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6FB5" w:rsidRPr="00E66FB5" w:rsidRDefault="002A6769" w:rsidP="00E66FB5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Утверждение</w:t>
            </w:r>
            <w:r w:rsidR="00E66FB5" w:rsidRPr="00E66FB5">
              <w:rPr>
                <w:color w:val="000000"/>
                <w:sz w:val="24"/>
                <w:szCs w:val="24"/>
              </w:rPr>
              <w:t xml:space="preserve"> административного регламента исполнения администрацией Петровского </w:t>
            </w:r>
            <w:r w:rsidR="00E66FB5">
              <w:rPr>
                <w:color w:val="000000"/>
                <w:sz w:val="24"/>
                <w:szCs w:val="24"/>
              </w:rPr>
              <w:t>городского округа</w:t>
            </w:r>
            <w:r w:rsidR="00E66FB5" w:rsidRPr="00E66FB5">
              <w:rPr>
                <w:color w:val="000000"/>
                <w:sz w:val="24"/>
                <w:szCs w:val="24"/>
              </w:rPr>
              <w:t xml:space="preserve"> Ставропольского края муниципальной контрольной функции «Осуществление муниципального лесного контроля»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5173B9" w:rsidRDefault="00E66FB5" w:rsidP="00B04C2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отдел </w:t>
            </w:r>
            <w:r>
              <w:rPr>
                <w:sz w:val="24"/>
              </w:rPr>
              <w:t>сельского хозяйства и охраны окружающей среды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E66FB5" w:rsidRPr="00E63DA2" w:rsidRDefault="00E66FB5" w:rsidP="00B04C26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II </w:t>
            </w:r>
            <w:r>
              <w:rPr>
                <w:sz w:val="24"/>
              </w:rPr>
              <w:t>квартал 2018 г.</w:t>
            </w:r>
          </w:p>
        </w:tc>
      </w:tr>
    </w:tbl>
    <w:p w:rsidR="00E66FB5" w:rsidRDefault="00E66FB5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6FB5" w:rsidRDefault="00E66FB5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6FB5" w:rsidRDefault="00E66FB5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6FB5" w:rsidRDefault="00E66FB5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6FB5" w:rsidRDefault="00E66FB5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6FB5" w:rsidRDefault="00E66FB5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6FB5" w:rsidRDefault="00E66FB5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6FB5" w:rsidRDefault="00E66FB5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6FB5" w:rsidRDefault="00E66FB5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5B07" w:rsidRPr="00B15ADC" w:rsidRDefault="00525B07" w:rsidP="00525B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C1318D" w:rsidRDefault="00C1318D" w:rsidP="00C1318D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C1318D" w:rsidRPr="006E6E23" w:rsidRDefault="00C1318D" w:rsidP="00C131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E23">
        <w:rPr>
          <w:rFonts w:ascii="Times New Roman" w:hAnsi="Times New Roman" w:cs="Times New Roman"/>
          <w:sz w:val="28"/>
          <w:szCs w:val="28"/>
        </w:rPr>
        <w:t>об источнике информации и методике расчета</w:t>
      </w:r>
    </w:p>
    <w:p w:rsidR="00C1318D" w:rsidRDefault="00C1318D" w:rsidP="00C131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E23">
        <w:rPr>
          <w:rFonts w:ascii="Times New Roman" w:hAnsi="Times New Roman" w:cs="Times New Roman"/>
          <w:sz w:val="28"/>
          <w:szCs w:val="28"/>
        </w:rPr>
        <w:t xml:space="preserve">индикаторов достижения целей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B1EAF">
        <w:rPr>
          <w:rFonts w:ascii="Times New Roman" w:hAnsi="Times New Roman" w:cs="Times New Roman"/>
          <w:sz w:val="28"/>
          <w:szCs w:val="28"/>
        </w:rPr>
        <w:t>П</w:t>
      </w:r>
      <w:r w:rsidRPr="006E6E23">
        <w:rPr>
          <w:rFonts w:ascii="Times New Roman" w:hAnsi="Times New Roman" w:cs="Times New Roman"/>
          <w:sz w:val="28"/>
          <w:szCs w:val="28"/>
        </w:rPr>
        <w:t xml:space="preserve">рограммы и </w:t>
      </w:r>
    </w:p>
    <w:p w:rsidR="00C1318D" w:rsidRDefault="00C1318D" w:rsidP="00C131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E23">
        <w:rPr>
          <w:rFonts w:ascii="Times New Roman" w:hAnsi="Times New Roman" w:cs="Times New Roman"/>
          <w:sz w:val="28"/>
          <w:szCs w:val="28"/>
        </w:rPr>
        <w:t xml:space="preserve">показателей решения задач подпрограмм </w:t>
      </w:r>
      <w:r w:rsidR="003B1EAF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</w:t>
      </w:r>
    </w:p>
    <w:p w:rsidR="00C1318D" w:rsidRDefault="00C1318D" w:rsidP="00C1318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3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710"/>
        <w:gridCol w:w="3118"/>
        <w:gridCol w:w="1276"/>
        <w:gridCol w:w="7513"/>
        <w:gridCol w:w="2835"/>
      </w:tblGrid>
      <w:tr w:rsidR="00C1318D" w:rsidRPr="008B56E3" w:rsidTr="00525B07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информации 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(методика расчета)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индикатора достижения цели Программы и показателя решения задачи подпрограммы Программы </w:t>
            </w:r>
          </w:p>
        </w:tc>
      </w:tr>
      <w:tr w:rsidR="00C1318D" w:rsidRPr="008B56E3" w:rsidTr="00525B07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04A7A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04A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14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B25FC0" w:rsidP="00B15A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</w:t>
            </w:r>
            <w:r w:rsidRPr="0051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рограмма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Петровского городского округа </w:t>
            </w:r>
            <w:r w:rsidRPr="0051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Охрана окружающей среды</w:t>
            </w:r>
            <w:r w:rsidRPr="0051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E63DA2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13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B15ADC" w:rsidRDefault="00B15ADC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округа, проживающего на защищенной в результате проведения </w:t>
            </w:r>
            <w:proofErr w:type="spellStart"/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противопаводковых</w:t>
            </w:r>
            <w:proofErr w:type="spellEnd"/>
            <w:r w:rsidRPr="00B15AD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территории округа, в общей численности населения округа, проживающего на территории округа, подверженной негативному воздействию вод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B15ADC" w:rsidRPr="00B15ADC" w:rsidRDefault="00B15ADC" w:rsidP="00B15AD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B15AD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 «</w:t>
            </w: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округа, проживающего на защищенной в результате проведения </w:t>
            </w:r>
            <w:proofErr w:type="spellStart"/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противопаводковых</w:t>
            </w:r>
            <w:proofErr w:type="spellEnd"/>
            <w:r w:rsidRPr="00B15AD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территории округа, в общей численности населения округа, проживающего на территории округа, подверженной негативному воздействию вод</w:t>
            </w:r>
            <w:r w:rsidRPr="00B15ADC">
              <w:rPr>
                <w:rFonts w:ascii="Arial" w:hAnsi="Arial" w:cs="Arial"/>
                <w:spacing w:val="2"/>
                <w:sz w:val="18"/>
                <w:szCs w:val="18"/>
                <w:shd w:val="clear" w:color="auto" w:fill="FFFFFF"/>
              </w:rPr>
              <w:t xml:space="preserve">» </w:t>
            </w:r>
            <w:r w:rsidRPr="00B15AD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рассчитывается нарастающим итогом.</w:t>
            </w:r>
            <w:r w:rsidRPr="00B15AD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br/>
            </w:r>
            <w:r w:rsidRPr="00B15AD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Формула расчета показателя: (А+Б)/Вx100%,</w:t>
            </w:r>
          </w:p>
          <w:p w:rsidR="00C1318D" w:rsidRPr="008B56E3" w:rsidRDefault="00B15ADC" w:rsidP="00B15AD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AD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br/>
            </w:r>
            <w:r w:rsidRPr="00B15AD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где</w:t>
            </w:r>
            <w:proofErr w:type="gramStart"/>
            <w:r w:rsidRPr="00B15AD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  <w:r w:rsidRPr="00B15AD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- 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по состоянию на конец периода, предшествующего отчетному;</w:t>
            </w:r>
            <w:r w:rsidRPr="00B15AD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br/>
            </w:r>
            <w:r w:rsidRPr="00B15AD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Б - 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в отчетном периоде;</w:t>
            </w:r>
            <w:r w:rsidRPr="00B15AD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br/>
            </w:r>
            <w:r w:rsidRPr="00B15AD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 - численность населения, проживающего на подверженных негативному воздействию вод территориях.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E66FB5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B1EAF">
              <w:rPr>
                <w:rFonts w:ascii="Times New Roman" w:hAnsi="Times New Roman" w:cs="Times New Roman"/>
                <w:sz w:val="24"/>
                <w:szCs w:val="24"/>
              </w:rPr>
              <w:t>ежегодно, в срок до 01 марта года следующего за отчетным</w:t>
            </w:r>
          </w:p>
        </w:tc>
      </w:tr>
      <w:tr w:rsidR="003B1EAF" w:rsidRPr="008B56E3" w:rsidTr="0036515E">
        <w:trPr>
          <w:trHeight w:val="2484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3B1EAF" w:rsidRPr="008B56E3" w:rsidRDefault="003B1EA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A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3B1EAF" w:rsidRPr="008B56E3" w:rsidRDefault="003B1EAF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ежегодных мероприятий в рамках Дней защиты от экологической опасности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B1EAF" w:rsidRPr="008B56E3" w:rsidRDefault="003B1EAF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3B1EAF" w:rsidRPr="00B15ADC" w:rsidRDefault="003B1EAF" w:rsidP="00B15AD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Информация отдела сельского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йства и охраны окружающей среды.  </w:t>
            </w: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B1EAF" w:rsidRDefault="003B1EAF" w:rsidP="003B1EAF">
            <w:pPr>
              <w:jc w:val="center"/>
            </w:pPr>
            <w:r w:rsidRPr="00850787">
              <w:rPr>
                <w:rFonts w:ascii="Times New Roman" w:hAnsi="Times New Roman" w:cs="Times New Roman"/>
                <w:sz w:val="24"/>
                <w:szCs w:val="24"/>
              </w:rPr>
              <w:t>ежегодно, в срок до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50787">
              <w:rPr>
                <w:rFonts w:ascii="Times New Roman" w:hAnsi="Times New Roman" w:cs="Times New Roman"/>
                <w:sz w:val="24"/>
                <w:szCs w:val="24"/>
              </w:rPr>
              <w:t xml:space="preserve">марта года следующего за </w:t>
            </w:r>
            <w:proofErr w:type="gramStart"/>
            <w:r w:rsidRPr="00850787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3B1EAF" w:rsidRPr="008B56E3" w:rsidTr="0036515E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EAF" w:rsidRPr="008B56E3" w:rsidRDefault="003B1EA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B1EAF" w:rsidRPr="008B56E3" w:rsidRDefault="003B1EAF" w:rsidP="00B15AD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EAF" w:rsidRPr="008B56E3" w:rsidRDefault="003B1EAF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EAF" w:rsidRPr="008B56E3" w:rsidRDefault="003B1EAF" w:rsidP="004E1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Информация отдела сельского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йства и охраны окружающей среды.  </w:t>
            </w: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B1EAF" w:rsidRPr="003B1EAF" w:rsidRDefault="003B1EAF" w:rsidP="003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50787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срок до 01 марта года следующего за </w:t>
            </w:r>
            <w:proofErr w:type="gramStart"/>
            <w:r w:rsidRPr="00850787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3B1EAF" w:rsidRPr="008B56E3" w:rsidTr="0036515E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EAF" w:rsidRPr="008B56E3" w:rsidRDefault="003B1EA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B1EAF" w:rsidRPr="008B56E3" w:rsidRDefault="003B1EAF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составленных административных протоколов об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EAF" w:rsidRPr="008B56E3" w:rsidRDefault="003B1EAF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EAF" w:rsidRPr="008B56E3" w:rsidRDefault="003B1EAF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Информация отдела сельского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йства и охраны окружающей среды.  </w:t>
            </w: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B1EAF" w:rsidRDefault="003B1EAF" w:rsidP="003B1EA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50787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срок до 01 марта года следующего за </w:t>
            </w:r>
            <w:proofErr w:type="gramStart"/>
            <w:r w:rsidRPr="00850787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3B1EAF" w:rsidRPr="008B56E3" w:rsidTr="003B1EAF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EAF" w:rsidRPr="008B56E3" w:rsidRDefault="003B1EA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B1EAF" w:rsidRPr="008B56E3" w:rsidRDefault="003B1EAF" w:rsidP="003B1EA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 новых и реконструированных берегоукрепительных сооружений  на территории округа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EAF" w:rsidRPr="008B56E3" w:rsidRDefault="003B1EAF" w:rsidP="003B1EA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3B1EAF" w:rsidRPr="008B56E3" w:rsidRDefault="003B1EAF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Информация отдела сельского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йства и охраны окружающей среды.  </w:t>
            </w: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B1EAF" w:rsidRDefault="003B1EAF" w:rsidP="003B1EA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50787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срок до 01 марта года следующего за </w:t>
            </w:r>
            <w:proofErr w:type="gramStart"/>
            <w:r w:rsidRPr="00850787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3B1EAF" w:rsidRPr="008B56E3" w:rsidTr="0036515E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EAF" w:rsidRPr="008B56E3" w:rsidRDefault="00194D06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1E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B1EAF" w:rsidRPr="008B56E3" w:rsidRDefault="003B1EAF" w:rsidP="004E142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проектов на рекультивацию несанкционированных свалок в поселениях округа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1EAF" w:rsidRPr="008B56E3" w:rsidRDefault="003B1EAF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EAF" w:rsidRPr="008B56E3" w:rsidRDefault="003B1EAF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Информация отдела сельского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йства и охраны окружающей среды.  </w:t>
            </w: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B1EAF" w:rsidRDefault="003B1EAF" w:rsidP="003B1EA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50787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срок до 01 марта года следующего за </w:t>
            </w:r>
            <w:proofErr w:type="gramStart"/>
            <w:r w:rsidRPr="00850787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3B1EAF" w:rsidRPr="008B56E3" w:rsidTr="0036515E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1EAF" w:rsidRPr="00194D06" w:rsidRDefault="00194D06" w:rsidP="0019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B1EAF" w:rsidRPr="008B56E3" w:rsidRDefault="003B1EAF" w:rsidP="00B15AD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опубликованных статей экологической направленности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1EAF" w:rsidRPr="008B56E3" w:rsidRDefault="003B1EAF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3B1EAF" w:rsidRPr="008B56E3" w:rsidRDefault="003B1EAF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Информация отдела сельского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йства и охраны окружающей среды.  </w:t>
            </w: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B1EAF" w:rsidRDefault="003B1EAF" w:rsidP="003B1EA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50787">
              <w:rPr>
                <w:rFonts w:ascii="Times New Roman" w:hAnsi="Times New Roman" w:cs="Times New Roman"/>
                <w:sz w:val="24"/>
                <w:szCs w:val="24"/>
              </w:rPr>
              <w:t>ежегодно, в срок до 01 марта года следующего за отчетным</w:t>
            </w:r>
          </w:p>
        </w:tc>
      </w:tr>
      <w:tr w:rsidR="00194D06" w:rsidRPr="008B56E3" w:rsidTr="0036515E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D06" w:rsidRDefault="00194D06" w:rsidP="00194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94D06" w:rsidRDefault="00194D06" w:rsidP="00B15AD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несанкционированных свалок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4D06" w:rsidRDefault="00194D06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194D06" w:rsidRPr="00B15ADC" w:rsidRDefault="00194D06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Информация отдела сельского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йства и охраны окружающей среды.  </w:t>
            </w:r>
            <w:r w:rsidRPr="00B15ADC"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94D06" w:rsidRDefault="002D590D" w:rsidP="003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50787">
              <w:rPr>
                <w:rFonts w:ascii="Times New Roman" w:hAnsi="Times New Roman" w:cs="Times New Roman"/>
                <w:sz w:val="24"/>
                <w:szCs w:val="24"/>
              </w:rPr>
              <w:t>ежегодно, в срок до 01 марта года следующего за отчетным</w:t>
            </w:r>
          </w:p>
        </w:tc>
      </w:tr>
    </w:tbl>
    <w:p w:rsidR="006A437B" w:rsidRDefault="006A437B" w:rsidP="00C965E4">
      <w:pPr>
        <w:jc w:val="both"/>
        <w:rPr>
          <w:rFonts w:ascii="Times New Roman" w:hAnsi="Times New Roman" w:cs="Times New Roman"/>
          <w:sz w:val="28"/>
          <w:szCs w:val="28"/>
        </w:rPr>
        <w:sectPr w:rsidR="006A437B" w:rsidSect="003B1EAF">
          <w:pgSz w:w="16838" w:h="11906" w:orient="landscape" w:code="9"/>
          <w:pgMar w:top="709" w:right="1134" w:bottom="709" w:left="1134" w:header="709" w:footer="709" w:gutter="0"/>
          <w:cols w:space="708"/>
          <w:docGrid w:linePitch="360"/>
        </w:sectPr>
      </w:pPr>
    </w:p>
    <w:p w:rsidR="00E22E5E" w:rsidRPr="00B00BBB" w:rsidRDefault="00E22E5E" w:rsidP="00C965E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2E5E" w:rsidRPr="00B00BBB" w:rsidSect="00EB2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472BC"/>
    <w:multiLevelType w:val="hybridMultilevel"/>
    <w:tmpl w:val="247AE196"/>
    <w:lvl w:ilvl="0" w:tplc="5CCECD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81B2F7C"/>
    <w:multiLevelType w:val="hybridMultilevel"/>
    <w:tmpl w:val="EFC29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7163F9"/>
    <w:multiLevelType w:val="hybridMultilevel"/>
    <w:tmpl w:val="11A08364"/>
    <w:lvl w:ilvl="0" w:tplc="0419000F">
      <w:start w:val="1"/>
      <w:numFmt w:val="decimal"/>
      <w:lvlText w:val="%1."/>
      <w:lvlJc w:val="left"/>
      <w:pPr>
        <w:ind w:left="3921" w:hanging="360"/>
      </w:pPr>
    </w:lvl>
    <w:lvl w:ilvl="1" w:tplc="04190019" w:tentative="1">
      <w:start w:val="1"/>
      <w:numFmt w:val="lowerLetter"/>
      <w:lvlText w:val="%2."/>
      <w:lvlJc w:val="left"/>
      <w:pPr>
        <w:ind w:left="4641" w:hanging="360"/>
      </w:pPr>
    </w:lvl>
    <w:lvl w:ilvl="2" w:tplc="0419001B" w:tentative="1">
      <w:start w:val="1"/>
      <w:numFmt w:val="lowerRoman"/>
      <w:lvlText w:val="%3."/>
      <w:lvlJc w:val="right"/>
      <w:pPr>
        <w:ind w:left="5361" w:hanging="180"/>
      </w:pPr>
    </w:lvl>
    <w:lvl w:ilvl="3" w:tplc="0419000F" w:tentative="1">
      <w:start w:val="1"/>
      <w:numFmt w:val="decimal"/>
      <w:lvlText w:val="%4."/>
      <w:lvlJc w:val="left"/>
      <w:pPr>
        <w:ind w:left="6081" w:hanging="360"/>
      </w:pPr>
    </w:lvl>
    <w:lvl w:ilvl="4" w:tplc="04190019" w:tentative="1">
      <w:start w:val="1"/>
      <w:numFmt w:val="lowerLetter"/>
      <w:lvlText w:val="%5."/>
      <w:lvlJc w:val="left"/>
      <w:pPr>
        <w:ind w:left="6801" w:hanging="360"/>
      </w:pPr>
    </w:lvl>
    <w:lvl w:ilvl="5" w:tplc="0419001B" w:tentative="1">
      <w:start w:val="1"/>
      <w:numFmt w:val="lowerRoman"/>
      <w:lvlText w:val="%6."/>
      <w:lvlJc w:val="right"/>
      <w:pPr>
        <w:ind w:left="7521" w:hanging="180"/>
      </w:pPr>
    </w:lvl>
    <w:lvl w:ilvl="6" w:tplc="0419000F" w:tentative="1">
      <w:start w:val="1"/>
      <w:numFmt w:val="decimal"/>
      <w:lvlText w:val="%7."/>
      <w:lvlJc w:val="left"/>
      <w:pPr>
        <w:ind w:left="8241" w:hanging="360"/>
      </w:pPr>
    </w:lvl>
    <w:lvl w:ilvl="7" w:tplc="04190019" w:tentative="1">
      <w:start w:val="1"/>
      <w:numFmt w:val="lowerLetter"/>
      <w:lvlText w:val="%8."/>
      <w:lvlJc w:val="left"/>
      <w:pPr>
        <w:ind w:left="8961" w:hanging="360"/>
      </w:pPr>
    </w:lvl>
    <w:lvl w:ilvl="8" w:tplc="0419001B" w:tentative="1">
      <w:start w:val="1"/>
      <w:numFmt w:val="lowerRoman"/>
      <w:lvlText w:val="%9."/>
      <w:lvlJc w:val="right"/>
      <w:pPr>
        <w:ind w:left="9681" w:hanging="180"/>
      </w:pPr>
    </w:lvl>
  </w:abstractNum>
  <w:abstractNum w:abstractNumId="3">
    <w:nsid w:val="557E786D"/>
    <w:multiLevelType w:val="hybridMultilevel"/>
    <w:tmpl w:val="6B1A387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0BBB"/>
    <w:rsid w:val="0001377D"/>
    <w:rsid w:val="000E5F19"/>
    <w:rsid w:val="00121168"/>
    <w:rsid w:val="00194D06"/>
    <w:rsid w:val="001E3511"/>
    <w:rsid w:val="002A6769"/>
    <w:rsid w:val="002D590D"/>
    <w:rsid w:val="003B1EAF"/>
    <w:rsid w:val="004357C0"/>
    <w:rsid w:val="004646F9"/>
    <w:rsid w:val="00485B00"/>
    <w:rsid w:val="004E1421"/>
    <w:rsid w:val="005173B9"/>
    <w:rsid w:val="00525B07"/>
    <w:rsid w:val="005516F4"/>
    <w:rsid w:val="00554774"/>
    <w:rsid w:val="005B191D"/>
    <w:rsid w:val="006A437B"/>
    <w:rsid w:val="00706C80"/>
    <w:rsid w:val="00763298"/>
    <w:rsid w:val="0088294C"/>
    <w:rsid w:val="008A3D63"/>
    <w:rsid w:val="008C422C"/>
    <w:rsid w:val="008D1ECC"/>
    <w:rsid w:val="009935DE"/>
    <w:rsid w:val="00A951D4"/>
    <w:rsid w:val="00B00BBB"/>
    <w:rsid w:val="00B15ADC"/>
    <w:rsid w:val="00B2339C"/>
    <w:rsid w:val="00B25FC0"/>
    <w:rsid w:val="00C1318D"/>
    <w:rsid w:val="00C23074"/>
    <w:rsid w:val="00C567D2"/>
    <w:rsid w:val="00C83537"/>
    <w:rsid w:val="00C965E4"/>
    <w:rsid w:val="00D03BA1"/>
    <w:rsid w:val="00D2764D"/>
    <w:rsid w:val="00DD1A8F"/>
    <w:rsid w:val="00DD498B"/>
    <w:rsid w:val="00E22E5E"/>
    <w:rsid w:val="00E63DA2"/>
    <w:rsid w:val="00E66FB5"/>
    <w:rsid w:val="00E70776"/>
    <w:rsid w:val="00E93207"/>
    <w:rsid w:val="00EB268A"/>
    <w:rsid w:val="00EE3C3B"/>
    <w:rsid w:val="00F44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No Spacing"/>
    <w:link w:val="a4"/>
    <w:uiPriority w:val="1"/>
    <w:qFormat/>
    <w:rsid w:val="00B00BBB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styleId="a5">
    <w:name w:val="Hyperlink"/>
    <w:basedOn w:val="a0"/>
    <w:uiPriority w:val="99"/>
    <w:unhideWhenUsed/>
    <w:rsid w:val="008D1ECC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C1318D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51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6F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63DA2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E63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B15AD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rsid w:val="0088294C"/>
  </w:style>
  <w:style w:type="character" w:customStyle="1" w:styleId="a4">
    <w:name w:val="Без интервала Знак"/>
    <w:link w:val="a3"/>
    <w:uiPriority w:val="1"/>
    <w:rsid w:val="0088294C"/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BE9E1-C964-46C4-9C71-F21F9E4E3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9</Pages>
  <Words>1887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User</cp:lastModifiedBy>
  <cp:revision>29</cp:revision>
  <cp:lastPrinted>2017-12-28T06:40:00Z</cp:lastPrinted>
  <dcterms:created xsi:type="dcterms:W3CDTF">2016-02-03T06:05:00Z</dcterms:created>
  <dcterms:modified xsi:type="dcterms:W3CDTF">2017-12-28T06:41:00Z</dcterms:modified>
</cp:coreProperties>
</file>