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2"/>
      </w:tblGrid>
      <w:tr w:rsidR="00097580" w:rsidRPr="00BF1B56" w:rsidTr="007B768C">
        <w:trPr>
          <w:trHeight w:val="1418"/>
        </w:trPr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BF1B56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>Приложение 2</w:t>
            </w:r>
          </w:p>
          <w:p w:rsidR="007B768C" w:rsidRDefault="007B768C" w:rsidP="001E21C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</w:t>
            </w:r>
            <w:r w:rsidRPr="00D43980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и улучшение инвестиционного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климата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1969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196964" w:rsidRPr="00043660" w:rsidRDefault="00196964" w:rsidP="001E21C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BF1B5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D673C7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10"/>
          <w:szCs w:val="10"/>
        </w:rPr>
      </w:pPr>
    </w:p>
    <w:tbl>
      <w:tblPr>
        <w:tblW w:w="14317" w:type="dxa"/>
        <w:tblInd w:w="108" w:type="dxa"/>
        <w:tblLayout w:type="fixed"/>
        <w:tblLook w:val="0000"/>
      </w:tblPr>
      <w:tblGrid>
        <w:gridCol w:w="709"/>
        <w:gridCol w:w="3969"/>
        <w:gridCol w:w="1843"/>
        <w:gridCol w:w="2126"/>
        <w:gridCol w:w="1415"/>
        <w:gridCol w:w="1417"/>
        <w:gridCol w:w="2838"/>
      </w:tblGrid>
      <w:tr w:rsidR="00943B70" w:rsidRPr="00BF1B56" w:rsidTr="00C25513">
        <w:trPr>
          <w:cantSplit/>
          <w:trHeight w:hRule="exact"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Calibri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proofErr w:type="gramEnd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/</w:t>
            </w:r>
            <w:proofErr w:type="spell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r w:rsidRPr="00BF1B56">
              <w:rPr>
                <w:rFonts w:ascii="Times New Roman" w:eastAsia="Cambria" w:hAnsi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BF1B56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Срок 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pacing w:after="0" w:line="240" w:lineRule="exact"/>
              <w:jc w:val="center"/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BF1B56" w:rsidTr="00C25513">
        <w:trPr>
          <w:cantSplit/>
          <w:trHeight w:hRule="exact" w:val="186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окончания реализации</w:t>
            </w:r>
          </w:p>
        </w:tc>
        <w:tc>
          <w:tcPr>
            <w:tcW w:w="2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7</w:t>
            </w:r>
          </w:p>
        </w:tc>
      </w:tr>
      <w:tr w:rsidR="00943B70" w:rsidRPr="00BF1B56" w:rsidTr="007B768C">
        <w:trPr>
          <w:trHeight w:val="45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4C0D0E" w:rsidP="00FC75EC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Цель 1</w:t>
            </w:r>
            <w:r w:rsidR="00FC75E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.</w:t>
            </w:r>
            <w:r w:rsidRPr="00BF1B56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 xml:space="preserve"> </w:t>
            </w:r>
            <w:r w:rsidR="00747F72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«</w:t>
            </w:r>
            <w:r w:rsidR="00FC75E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</w:t>
            </w:r>
            <w:r w:rsidR="007B768C" w:rsidRPr="007B768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овышение инвестиционной активности на территории округа</w:t>
            </w:r>
            <w:r w:rsidR="00747F72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»</w:t>
            </w:r>
            <w:r w:rsidR="007B768C" w:rsidRPr="007B768C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 xml:space="preserve"> </w:t>
            </w: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8A4938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Подпрограмма</w:t>
            </w:r>
            <w:r w:rsidR="004C0D0E" w:rsidRPr="00BF1B56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 xml:space="preserve"> </w:t>
            </w:r>
            <w:r w:rsidR="007B768C" w:rsidRPr="007B768C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«Формирование благоприятного инвестиционного климата»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4C0D0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 xml:space="preserve">Задача </w:t>
            </w:r>
            <w:r w:rsidR="00FC75EC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«</w:t>
            </w:r>
            <w:r w:rsidR="007B768C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С</w:t>
            </w:r>
            <w:r w:rsidR="007B768C" w:rsidRPr="007B768C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оздание благоприятных условий для привлечения инвестиций в экономику округа</w:t>
            </w:r>
            <w:r w:rsidR="00FC75EC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»</w:t>
            </w: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1.</w:t>
            </w:r>
            <w:r w:rsidR="00DD5E42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CF6E0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Формирование инвестиционной привлекательности округа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F329E5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стратегического планирования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 w:rsid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 w:rsid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EE5" w:rsidRDefault="007A2EE5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и</w:t>
            </w:r>
            <w:r w:rsidRPr="00F802F4">
              <w:rPr>
                <w:rFonts w:ascii="Times New Roman" w:eastAsia="Cambria" w:hAnsi="Times New Roman" w:cs="Times New Roman"/>
                <w:sz w:val="24"/>
                <w:szCs w:val="24"/>
              </w:rPr>
              <w:t>ндекс физического объема инвестиций в основной капитал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943B70" w:rsidRPr="00BF1B56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объем инвестиций в основной капитал в экономике округа на душу населения округа</w:t>
            </w:r>
          </w:p>
        </w:tc>
      </w:tr>
      <w:tr w:rsidR="00943B70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DD5E4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1.</w:t>
            </w:r>
            <w:r w:rsidR="00943B70"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CF6E0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Сопровождение инвестиционных проектов, реализуемых на территории округа по принципу </w:t>
            </w: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«одного окна»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 xml:space="preserve">осуществление мероприятий участниками 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CA30C5" w:rsidRDefault="00F329E5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отдел стратегического планирования</w:t>
            </w:r>
            <w:r w:rsidR="007140A8"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7140A8" w:rsidRPr="00CA30C5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сельского хозяйства</w:t>
            </w:r>
            <w:r w:rsidR="003533A2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и охраны окружающей среды администрации Петровского городского округа (далее – отдел сельского хозяйства)</w:t>
            </w:r>
            <w:r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7140A8" w:rsidRPr="00CA30C5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имущественных отношений</w:t>
            </w:r>
            <w:r w:rsidR="003533A2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администрации Петровского городского округа (далее – отдел имущественных отношений)</w:t>
            </w:r>
            <w:r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7140A8" w:rsidRPr="00BF1B56" w:rsidRDefault="007140A8" w:rsidP="003533A2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архитектуры и градостроительства</w:t>
            </w:r>
            <w:r w:rsidR="003533A2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администрации Петровского городского округа (далее – отдел </w:t>
            </w:r>
            <w:r w:rsidR="003533A2" w:rsidRPr="00CA30C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архитектуры и градостроительства</w:t>
            </w:r>
            <w:r w:rsidR="003533A2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201</w:t>
            </w:r>
            <w:r w:rsid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7140A8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 w:rsid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7140A8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количество инвестиционных проектов, реализуемых </w:t>
            </w: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на территории округа с сопровождением по принципу «одного окна»</w:t>
            </w:r>
          </w:p>
        </w:tc>
      </w:tr>
      <w:tr w:rsidR="007140A8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1.3.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CF6E06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BF1B56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применение мер муниципального 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регулирования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BF1B56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отдел имущественных отношений</w:t>
            </w:r>
          </w:p>
          <w:p w:rsidR="007140A8" w:rsidRPr="00BF1B56" w:rsidRDefault="007140A8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BF1B56" w:rsidRDefault="007140A8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7140A8" w:rsidRPr="00BF1B56" w:rsidRDefault="007140A8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A8" w:rsidRPr="00BF1B56" w:rsidRDefault="007140A8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количество инвестиционных проектов, реализуемых на территории округа с </w:t>
            </w: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сопровождением по принципу «одного окна»</w:t>
            </w:r>
          </w:p>
        </w:tc>
      </w:tr>
      <w:tr w:rsidR="001F2F7E" w:rsidRPr="00BF1B56" w:rsidTr="00196964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7140A8" w:rsidRDefault="001F2F7E" w:rsidP="001F2F7E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Цель 2. Обеспечение благоприятных условий для развития малого и среднего предпринимательства</w:t>
            </w:r>
          </w:p>
        </w:tc>
      </w:tr>
      <w:tr w:rsidR="001F2F7E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П</w:t>
            </w:r>
            <w:r w:rsidRPr="001F2F7E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одпрограмма «Поддержка и развитие малого и среднего предпринимательства»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7140A8" w:rsidRDefault="001F2F7E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7140A8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1F2F7E" w:rsidRPr="00BF1B56" w:rsidTr="00196964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7140A8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Задача «</w:t>
            </w:r>
            <w:r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П</w:t>
            </w:r>
            <w:r w:rsidRPr="001F2F7E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овышение предпринимательской активности и развитие малого и среднего предпринимательства в округе»</w:t>
            </w:r>
          </w:p>
        </w:tc>
      </w:tr>
      <w:tr w:rsidR="001F2F7E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2.1.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CF6E06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применение мер муниципального регулирования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7140A8" w:rsidRDefault="00F329E5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развития малого и среднего предпринимательства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число субъектов малого и среднего предпринимательства в расчете на 10 тыс. человек населения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1F2F7E" w:rsidRPr="007140A8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</w:tr>
      <w:tr w:rsidR="001F2F7E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2.2.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CF6E06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Пропаганда и популяризация предпринимательской деятельности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F329E5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развития малого и среднего предпринимательства</w:t>
            </w:r>
            <w:r w:rsid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1E5686" w:rsidRDefault="001E5686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сельского хозяйства;</w:t>
            </w:r>
          </w:p>
          <w:p w:rsidR="001E5686" w:rsidRDefault="001E5686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субъекты малого и среднего предпринимательства округа (по согласованию)</w:t>
            </w:r>
          </w:p>
          <w:p w:rsidR="001E5686" w:rsidRPr="007140A8" w:rsidRDefault="001E5686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Default="001F2F7E" w:rsidP="001F2F7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1F2F7E" w:rsidRPr="007140A8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количество проведенных консультаций и мероприятий для субъектов малого и среднего </w:t>
            </w: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предпринимательства</w:t>
            </w:r>
          </w:p>
        </w:tc>
      </w:tr>
      <w:tr w:rsidR="001F2F7E" w:rsidRPr="00BF1B56" w:rsidTr="00196964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7140A8" w:rsidRDefault="001F2F7E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C75E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  <w:r w:rsidRPr="00FC75E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. </w:t>
            </w:r>
            <w:r w:rsidR="001E56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</w:t>
            </w:r>
            <w:r w:rsidR="001E5686" w:rsidRPr="001E568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овышение конкурентоспособности производимой продукции, создание комфортных условий для граждан и субъектов предпринимательской деятельности на потребительском рынке</w:t>
            </w:r>
          </w:p>
        </w:tc>
      </w:tr>
      <w:tr w:rsidR="001F2F7E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1E568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Подпрограмма «Развитие пищевой и перерабатывающей промышленности и потребительского рынка»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7140A8" w:rsidRDefault="001F2F7E" w:rsidP="007140A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F2F7E" w:rsidRPr="00BF1B56" w:rsidRDefault="001F2F7E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F7E" w:rsidRPr="007140A8" w:rsidRDefault="001F2F7E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1E5686" w:rsidRPr="00BF1B56" w:rsidTr="00196964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7140A8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Задача «</w:t>
            </w:r>
            <w:r w:rsidRPr="001E5686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создание условий для осуществления деятельности субъектов пищевой и перерабатывающей промышленности на территории округа и развития потребительского рынка</w:t>
            </w:r>
            <w:r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»</w:t>
            </w:r>
          </w:p>
        </w:tc>
      </w:tr>
      <w:tr w:rsidR="001E5686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3.1.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CF6E0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развития малого и среднего предпринимательства</w:t>
            </w:r>
            <w:r w:rsid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1E5686" w:rsidRPr="001E5686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сельского хозяйства;</w:t>
            </w:r>
          </w:p>
          <w:p w:rsidR="001E5686" w:rsidRPr="007140A8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хозяйствующие субъекты округа, осуществляющие деятельность в сфере пищевой и перерабатывающей промышленности и торговли (по согласованию)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7140A8" w:rsidRDefault="00326002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к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>оличество ярмар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очных дней, проведенных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 xml:space="preserve"> на территории округа</w:t>
            </w: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</w:t>
            </w:r>
          </w:p>
        </w:tc>
      </w:tr>
      <w:tr w:rsidR="001E5686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3.2.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CF6E0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Реализация комплекса мероприятий по развитию пищевой и перерабатывающей промышленности и потребительского рынка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развития малого и среднего предпринимательства</w:t>
            </w:r>
            <w:r w:rsid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1E5686" w:rsidRPr="001E5686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хозяйства;</w:t>
            </w:r>
          </w:p>
          <w:p w:rsidR="001E5686" w:rsidRPr="007140A8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хозяйствующие субъекты округа, осуществляющие деятельность в </w:t>
            </w: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сфере пищевой и перерабатывающей промышленности и торговли (по согласованию)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1E5686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темп роста объемов отгруженных по виду экономической деятельности «Производство пищевых продуктов, включая напитки, и табака»;</w:t>
            </w:r>
          </w:p>
          <w:p w:rsidR="001E5686" w:rsidRPr="007140A8" w:rsidRDefault="00326002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 xml:space="preserve">количество объектов торговли, общественного </w:t>
            </w:r>
            <w:r>
              <w:rPr>
                <w:rFonts w:ascii="Times New Roman" w:eastAsia="Cambria" w:hAnsi="Times New Roman"/>
                <w:sz w:val="24"/>
                <w:szCs w:val="28"/>
              </w:rPr>
              <w:lastRenderedPageBreak/>
              <w:t>питания и бытового обслуживания населения</w:t>
            </w:r>
          </w:p>
        </w:tc>
      </w:tr>
      <w:tr w:rsidR="001E5686" w:rsidRPr="00BF1B56" w:rsidTr="002100FB">
        <w:trPr>
          <w:trHeight w:val="41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686" w:rsidRPr="00FC75EC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8"/>
                <w:lang w:eastAsia="ar-SA"/>
              </w:rPr>
            </w:pPr>
            <w:r w:rsidRPr="00FC75E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  <w:r w:rsidRPr="00FC75E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. Определение направлений и ожидаемых результатов социально-экономического развития округа</w:t>
            </w:r>
          </w:p>
        </w:tc>
      </w:tr>
      <w:tr w:rsidR="001E5686" w:rsidRPr="00BF1B56" w:rsidTr="007140A8">
        <w:trPr>
          <w:trHeight w:val="80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7140A8" w:rsidRDefault="001E5686" w:rsidP="001E5686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Times New Roman"/>
                <w:b/>
                <w:i/>
                <w:sz w:val="24"/>
                <w:szCs w:val="28"/>
              </w:rPr>
              <w:t>Подпрограмма «Совершенствование системы стратегического управления (планирования)»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3210ED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3210ED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</w:tr>
      <w:tr w:rsidR="001E5686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BF1B56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bCs/>
                <w:i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 xml:space="preserve">Задача </w:t>
            </w:r>
            <w:r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>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</w:t>
            </w:r>
            <w:r w:rsidRPr="007140A8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оординация стратегического управления и мер бюджетной политики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»</w:t>
            </w:r>
          </w:p>
        </w:tc>
      </w:tr>
      <w:tr w:rsidR="001E5686" w:rsidRPr="00BF1B56" w:rsidTr="002100F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4.1.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6F09F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Cs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bCs/>
                <w:sz w:val="24"/>
                <w:szCs w:val="28"/>
                <w:lang w:eastAsia="ar-SA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стратегического планирования</w:t>
            </w:r>
            <w:r w:rsid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отделы и органы администрации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7140A8" w:rsidRDefault="001E5686" w:rsidP="00196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7140A8">
              <w:rPr>
                <w:rFonts w:ascii="Times New Roman" w:eastAsia="Cambria" w:hAnsi="Times New Roman" w:cs="Times New Roman"/>
                <w:sz w:val="24"/>
                <w:szCs w:val="28"/>
              </w:rPr>
              <w:t>доля своевременно разработанных (актуализированных) 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</w:t>
            </w:r>
          </w:p>
        </w:tc>
      </w:tr>
      <w:tr w:rsidR="001E5686" w:rsidRPr="00BF1B56" w:rsidTr="002100FB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4.2.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в сроки и порядке, установленные </w:t>
            </w: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F329E5" w:rsidP="009442D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стратегического планирования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7140A8" w:rsidRDefault="001E5686" w:rsidP="00196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140A8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обеспечение своевременной государственной регистрации в федеральном государственном реестре документов </w:t>
            </w:r>
            <w:r w:rsidRPr="007140A8">
              <w:rPr>
                <w:rFonts w:ascii="Times New Roman" w:eastAsia="Cambria" w:hAnsi="Times New Roman" w:cs="Times New Roman"/>
                <w:sz w:val="24"/>
                <w:szCs w:val="28"/>
              </w:rPr>
              <w:lastRenderedPageBreak/>
              <w:t>стратегического планирования округа</w:t>
            </w:r>
          </w:p>
        </w:tc>
      </w:tr>
      <w:tr w:rsidR="001E5686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1360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BF1B56" w:rsidRDefault="001E5686" w:rsidP="001E5686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b/>
                <w:i/>
                <w:sz w:val="24"/>
                <w:szCs w:val="28"/>
                <w:lang w:eastAsia="ar-SA"/>
              </w:rPr>
              <w:t xml:space="preserve">Задача </w:t>
            </w:r>
            <w:r w:rsidRPr="00FC75EC">
              <w:rPr>
                <w:rFonts w:ascii="Times New Roman" w:hAnsi="Times New Roman" w:cs="Times New Roman"/>
                <w:b/>
                <w:i/>
                <w:szCs w:val="28"/>
              </w:rPr>
              <w:t>«</w:t>
            </w:r>
            <w:r w:rsidRPr="00FC75E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Проведение мониторинга и контроля реализации документов стратегического планирования округа»</w:t>
            </w:r>
          </w:p>
        </w:tc>
      </w:tr>
      <w:tr w:rsidR="001E5686" w:rsidRPr="00BF1B56" w:rsidTr="00C25513">
        <w:trPr>
          <w:trHeight w:val="3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4.3.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606F1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FC75E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Мониторинг и контроль реализации документов стратегического планирования округа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Default="00F329E5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 стратегического планирования</w:t>
            </w:r>
            <w:r w:rsid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;</w:t>
            </w:r>
          </w:p>
          <w:p w:rsidR="001E5686" w:rsidRPr="00BF1B56" w:rsidRDefault="001E5686" w:rsidP="00196964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отделы и органы администрации округа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201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8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5686" w:rsidRPr="00BF1B56" w:rsidRDefault="001E5686" w:rsidP="00196964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202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г.</w:t>
            </w: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6" w:rsidRPr="00BF1B56" w:rsidRDefault="001E5686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proofErr w:type="gramStart"/>
            <w:r>
              <w:rPr>
                <w:rFonts w:ascii="Times New Roman" w:eastAsia="Cambria" w:hAnsi="Times New Roman" w:cs="Times New Roman"/>
                <w:sz w:val="24"/>
                <w:szCs w:val="28"/>
              </w:rPr>
              <w:t>с</w:t>
            </w:r>
            <w:r w:rsidRPr="00F802F4">
              <w:rPr>
                <w:rFonts w:ascii="Times New Roman" w:eastAsia="Cambria" w:hAnsi="Times New Roman" w:cs="Times New Roman"/>
                <w:sz w:val="24"/>
                <w:szCs w:val="28"/>
              </w:rPr>
              <w:t>реднее отклонение фактических значений показателей социально-экономического развития округа от прогнозируемых</w:t>
            </w:r>
            <w:r>
              <w:rPr>
                <w:rFonts w:ascii="Times New Roman" w:eastAsia="Cambria" w:hAnsi="Times New Roman" w:cs="Times New Roman"/>
                <w:sz w:val="24"/>
                <w:szCs w:val="28"/>
              </w:rPr>
              <w:t>;</w:t>
            </w:r>
            <w:r w:rsidRPr="00FC75EC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</w:t>
            </w:r>
            <w:proofErr w:type="gramEnd"/>
          </w:p>
        </w:tc>
      </w:tr>
    </w:tbl>
    <w:p w:rsidR="00655D0A" w:rsidRPr="00BF1B56" w:rsidRDefault="00655D0A" w:rsidP="00C25513">
      <w:pPr>
        <w:spacing w:after="0" w:line="240" w:lineRule="auto"/>
      </w:pPr>
    </w:p>
    <w:sectPr w:rsidR="00655D0A" w:rsidRPr="00BF1B56" w:rsidSect="00063B1F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7580"/>
    <w:rsid w:val="00011BA3"/>
    <w:rsid w:val="00025543"/>
    <w:rsid w:val="00043660"/>
    <w:rsid w:val="000436E6"/>
    <w:rsid w:val="000602E5"/>
    <w:rsid w:val="0006080D"/>
    <w:rsid w:val="00063B1F"/>
    <w:rsid w:val="00066E76"/>
    <w:rsid w:val="00082D3F"/>
    <w:rsid w:val="0008349C"/>
    <w:rsid w:val="00085FBD"/>
    <w:rsid w:val="00097580"/>
    <w:rsid w:val="000A0271"/>
    <w:rsid w:val="000B1434"/>
    <w:rsid w:val="000B5209"/>
    <w:rsid w:val="000E20F0"/>
    <w:rsid w:val="00102F13"/>
    <w:rsid w:val="00131636"/>
    <w:rsid w:val="00140D49"/>
    <w:rsid w:val="0015688F"/>
    <w:rsid w:val="001656DD"/>
    <w:rsid w:val="00170486"/>
    <w:rsid w:val="00173BB1"/>
    <w:rsid w:val="00175257"/>
    <w:rsid w:val="00176762"/>
    <w:rsid w:val="00177ED0"/>
    <w:rsid w:val="00180BFF"/>
    <w:rsid w:val="00193147"/>
    <w:rsid w:val="00196964"/>
    <w:rsid w:val="0019768C"/>
    <w:rsid w:val="001A7D95"/>
    <w:rsid w:val="001B15C6"/>
    <w:rsid w:val="001B7E3A"/>
    <w:rsid w:val="001C3CD1"/>
    <w:rsid w:val="001C44BB"/>
    <w:rsid w:val="001D3518"/>
    <w:rsid w:val="001E21C3"/>
    <w:rsid w:val="001E5686"/>
    <w:rsid w:val="001E5EA6"/>
    <w:rsid w:val="001F2A03"/>
    <w:rsid w:val="001F2F7E"/>
    <w:rsid w:val="00201D82"/>
    <w:rsid w:val="002100FB"/>
    <w:rsid w:val="00224E5B"/>
    <w:rsid w:val="00272308"/>
    <w:rsid w:val="00273ADC"/>
    <w:rsid w:val="0029373B"/>
    <w:rsid w:val="00296453"/>
    <w:rsid w:val="002A746A"/>
    <w:rsid w:val="002B6734"/>
    <w:rsid w:val="002B72CF"/>
    <w:rsid w:val="002E7B3A"/>
    <w:rsid w:val="0030061E"/>
    <w:rsid w:val="003024A0"/>
    <w:rsid w:val="003144F8"/>
    <w:rsid w:val="00320F7D"/>
    <w:rsid w:val="003210ED"/>
    <w:rsid w:val="00326002"/>
    <w:rsid w:val="003533A2"/>
    <w:rsid w:val="0039092D"/>
    <w:rsid w:val="0039344F"/>
    <w:rsid w:val="003966F7"/>
    <w:rsid w:val="003A2778"/>
    <w:rsid w:val="003B1CBF"/>
    <w:rsid w:val="003C634D"/>
    <w:rsid w:val="003C65C0"/>
    <w:rsid w:val="003E18A6"/>
    <w:rsid w:val="003F6549"/>
    <w:rsid w:val="004222F7"/>
    <w:rsid w:val="00427D64"/>
    <w:rsid w:val="00431B47"/>
    <w:rsid w:val="00437933"/>
    <w:rsid w:val="004456F4"/>
    <w:rsid w:val="00450EA2"/>
    <w:rsid w:val="00450ED4"/>
    <w:rsid w:val="00473141"/>
    <w:rsid w:val="004B3B43"/>
    <w:rsid w:val="004B783C"/>
    <w:rsid w:val="004C0D0E"/>
    <w:rsid w:val="004C3B27"/>
    <w:rsid w:val="004D09D1"/>
    <w:rsid w:val="004D0B61"/>
    <w:rsid w:val="004D6ECA"/>
    <w:rsid w:val="004F0004"/>
    <w:rsid w:val="004F2043"/>
    <w:rsid w:val="005045B0"/>
    <w:rsid w:val="00512BAF"/>
    <w:rsid w:val="00516E7F"/>
    <w:rsid w:val="00582CC7"/>
    <w:rsid w:val="00591FBA"/>
    <w:rsid w:val="005C2C76"/>
    <w:rsid w:val="005D0089"/>
    <w:rsid w:val="005D1E91"/>
    <w:rsid w:val="005E094A"/>
    <w:rsid w:val="005F2BA3"/>
    <w:rsid w:val="00606F11"/>
    <w:rsid w:val="00617045"/>
    <w:rsid w:val="00620695"/>
    <w:rsid w:val="00655D0A"/>
    <w:rsid w:val="00662541"/>
    <w:rsid w:val="00673532"/>
    <w:rsid w:val="006A23A0"/>
    <w:rsid w:val="006C2DB9"/>
    <w:rsid w:val="006D79CD"/>
    <w:rsid w:val="006F09FE"/>
    <w:rsid w:val="006F77F3"/>
    <w:rsid w:val="00706BE6"/>
    <w:rsid w:val="007140A8"/>
    <w:rsid w:val="007249A4"/>
    <w:rsid w:val="00743322"/>
    <w:rsid w:val="00747F72"/>
    <w:rsid w:val="007608DD"/>
    <w:rsid w:val="0078378F"/>
    <w:rsid w:val="00784FD8"/>
    <w:rsid w:val="007956DB"/>
    <w:rsid w:val="00796A69"/>
    <w:rsid w:val="007971CD"/>
    <w:rsid w:val="007A2EE5"/>
    <w:rsid w:val="007A673F"/>
    <w:rsid w:val="007B021C"/>
    <w:rsid w:val="007B768C"/>
    <w:rsid w:val="007D3EC2"/>
    <w:rsid w:val="007E1C24"/>
    <w:rsid w:val="007E32DA"/>
    <w:rsid w:val="00800E49"/>
    <w:rsid w:val="00810D9A"/>
    <w:rsid w:val="00813828"/>
    <w:rsid w:val="00813B15"/>
    <w:rsid w:val="00817F65"/>
    <w:rsid w:val="00820700"/>
    <w:rsid w:val="00845C38"/>
    <w:rsid w:val="0086209B"/>
    <w:rsid w:val="00887787"/>
    <w:rsid w:val="008A19CC"/>
    <w:rsid w:val="008A4938"/>
    <w:rsid w:val="008B4892"/>
    <w:rsid w:val="008C5896"/>
    <w:rsid w:val="008E33EF"/>
    <w:rsid w:val="008F2CD7"/>
    <w:rsid w:val="008F4A7F"/>
    <w:rsid w:val="00916E15"/>
    <w:rsid w:val="009378F6"/>
    <w:rsid w:val="00943B70"/>
    <w:rsid w:val="009442D8"/>
    <w:rsid w:val="0094623B"/>
    <w:rsid w:val="009549DD"/>
    <w:rsid w:val="00957BE5"/>
    <w:rsid w:val="00970E14"/>
    <w:rsid w:val="00970F5F"/>
    <w:rsid w:val="00971FA7"/>
    <w:rsid w:val="009761F3"/>
    <w:rsid w:val="009851B7"/>
    <w:rsid w:val="00986DCD"/>
    <w:rsid w:val="009A2A83"/>
    <w:rsid w:val="009B0847"/>
    <w:rsid w:val="009B39A2"/>
    <w:rsid w:val="009C6F1C"/>
    <w:rsid w:val="009D026D"/>
    <w:rsid w:val="009D2454"/>
    <w:rsid w:val="009F2763"/>
    <w:rsid w:val="00A22F6B"/>
    <w:rsid w:val="00A23057"/>
    <w:rsid w:val="00A2755A"/>
    <w:rsid w:val="00A410B5"/>
    <w:rsid w:val="00A5729C"/>
    <w:rsid w:val="00A8160D"/>
    <w:rsid w:val="00A84C45"/>
    <w:rsid w:val="00A86CCC"/>
    <w:rsid w:val="00AB27FF"/>
    <w:rsid w:val="00AB6A16"/>
    <w:rsid w:val="00AD3DAE"/>
    <w:rsid w:val="00AD6C17"/>
    <w:rsid w:val="00AE4EDF"/>
    <w:rsid w:val="00AE5821"/>
    <w:rsid w:val="00AF7A4B"/>
    <w:rsid w:val="00B05418"/>
    <w:rsid w:val="00B27BA1"/>
    <w:rsid w:val="00B35BEC"/>
    <w:rsid w:val="00B629BE"/>
    <w:rsid w:val="00B675E4"/>
    <w:rsid w:val="00B8657A"/>
    <w:rsid w:val="00B91EDC"/>
    <w:rsid w:val="00BA09C6"/>
    <w:rsid w:val="00BB75A1"/>
    <w:rsid w:val="00BF1B56"/>
    <w:rsid w:val="00BF26B2"/>
    <w:rsid w:val="00C25513"/>
    <w:rsid w:val="00C30EA6"/>
    <w:rsid w:val="00C334F3"/>
    <w:rsid w:val="00C44F0F"/>
    <w:rsid w:val="00C77FCA"/>
    <w:rsid w:val="00C82636"/>
    <w:rsid w:val="00C82A77"/>
    <w:rsid w:val="00CA30C5"/>
    <w:rsid w:val="00CC16C7"/>
    <w:rsid w:val="00CC2134"/>
    <w:rsid w:val="00CC21DB"/>
    <w:rsid w:val="00CD1301"/>
    <w:rsid w:val="00CD2401"/>
    <w:rsid w:val="00CF6E06"/>
    <w:rsid w:val="00D00F8F"/>
    <w:rsid w:val="00D06AB5"/>
    <w:rsid w:val="00D3309A"/>
    <w:rsid w:val="00D673C7"/>
    <w:rsid w:val="00D71A12"/>
    <w:rsid w:val="00D82C87"/>
    <w:rsid w:val="00D929EE"/>
    <w:rsid w:val="00DC3BAB"/>
    <w:rsid w:val="00DD5E42"/>
    <w:rsid w:val="00DD6104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F04F9B"/>
    <w:rsid w:val="00F07485"/>
    <w:rsid w:val="00F11E4F"/>
    <w:rsid w:val="00F1234F"/>
    <w:rsid w:val="00F329E5"/>
    <w:rsid w:val="00F5257E"/>
    <w:rsid w:val="00F54B72"/>
    <w:rsid w:val="00F57A7D"/>
    <w:rsid w:val="00F73B80"/>
    <w:rsid w:val="00F86F62"/>
    <w:rsid w:val="00F87492"/>
    <w:rsid w:val="00F917C2"/>
    <w:rsid w:val="00F965E7"/>
    <w:rsid w:val="00FB1B29"/>
    <w:rsid w:val="00FC75EC"/>
    <w:rsid w:val="00FD413D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67D0-28A8-4779-BA67-38F2CCED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6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134</cp:revision>
  <cp:lastPrinted>2017-09-13T10:19:00Z</cp:lastPrinted>
  <dcterms:created xsi:type="dcterms:W3CDTF">2014-04-16T06:14:00Z</dcterms:created>
  <dcterms:modified xsi:type="dcterms:W3CDTF">2018-01-05T08:43:00Z</dcterms:modified>
</cp:coreProperties>
</file>