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92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2"/>
      </w:tblGrid>
      <w:tr w:rsidR="0006089F" w:rsidRPr="000F7AB9" w:rsidTr="00210AF3">
        <w:trPr>
          <w:trHeight w:val="1276"/>
        </w:trPr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210AF3" w:rsidRPr="00BF1B56" w:rsidRDefault="00210AF3" w:rsidP="00210AF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8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Приложение </w:t>
            </w: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3</w:t>
            </w:r>
          </w:p>
          <w:p w:rsidR="0006089F" w:rsidRDefault="00210AF3" w:rsidP="00210AF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к муниципальной программе Петровского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городского округа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</w:t>
            </w:r>
            <w:r w:rsidRPr="00D43980">
              <w:rPr>
                <w:rFonts w:ascii="Times New Roman" w:hAnsi="Times New Roman" w:cs="Times New Roman"/>
                <w:b/>
                <w:sz w:val="24"/>
                <w:szCs w:val="28"/>
              </w:rPr>
              <w:t>«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Модернизация экономики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и улучшение инвестиционного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климата</w:t>
            </w:r>
            <w:r w:rsidRPr="00D439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FA2840" w:rsidRPr="000F7AB9" w:rsidRDefault="00FA2840" w:rsidP="00210AF3">
            <w:pPr>
              <w:spacing w:after="0" w:line="240" w:lineRule="exact"/>
              <w:jc w:val="both"/>
              <w:rPr>
                <w:rFonts w:ascii="Times New Roman" w:eastAsia="Cambria" w:hAnsi="Times New Roman" w:cs="Times New Roman"/>
                <w:sz w:val="24"/>
                <w:szCs w:val="28"/>
              </w:rPr>
            </w:pPr>
          </w:p>
        </w:tc>
      </w:tr>
    </w:tbl>
    <w:p w:rsidR="00CA3C6D" w:rsidRPr="00483456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3456"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CA3C6D" w:rsidRPr="00483456" w:rsidRDefault="00CA3C6D" w:rsidP="00CA3C6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3456"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Программы</w:t>
      </w:r>
    </w:p>
    <w:p w:rsidR="00CA3C6D" w:rsidRPr="00483456" w:rsidRDefault="00CA3C6D" w:rsidP="00CA3C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W w:w="1418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673"/>
        <w:gridCol w:w="4005"/>
        <w:gridCol w:w="3083"/>
        <w:gridCol w:w="1072"/>
        <w:gridCol w:w="1070"/>
        <w:gridCol w:w="1071"/>
        <w:gridCol w:w="1071"/>
        <w:gridCol w:w="1071"/>
        <w:gridCol w:w="1071"/>
      </w:tblGrid>
      <w:tr w:rsidR="00CA3C6D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83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426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CA3C6D" w:rsidRPr="00483456" w:rsidTr="002C3D3B">
        <w:trPr>
          <w:trHeight w:val="1273"/>
        </w:trPr>
        <w:tc>
          <w:tcPr>
            <w:tcW w:w="67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210AF3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CA3C6D"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1" w:type="dxa"/>
            <w:vAlign w:val="center"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1" w:type="dxa"/>
            <w:vAlign w:val="center"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3C6D" w:rsidRPr="00483456" w:rsidTr="002C3D3B">
        <w:trPr>
          <w:trHeight w:val="111"/>
        </w:trPr>
        <w:tc>
          <w:tcPr>
            <w:tcW w:w="673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center"/>
            <w:hideMark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vAlign w:val="center"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  <w:vAlign w:val="center"/>
          </w:tcPr>
          <w:p w:rsidR="00CA3C6D" w:rsidRPr="00483456" w:rsidRDefault="00CA3C6D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C3D3B" w:rsidRPr="00483456" w:rsidTr="002C3D3B">
        <w:trPr>
          <w:trHeight w:val="202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  <w:hideMark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Петровского городского округа Ставропольского края 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«Модернизация экономики и улучшение инвестиционного климата»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82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 </w:t>
            </w:r>
            <w:proofErr w:type="gramEnd"/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82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7140A8" w:rsidRDefault="002C3D3B" w:rsidP="009139D1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B26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0942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экономического анализа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986EA8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0942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070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071" w:type="dxa"/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2C3D3B" w:rsidRPr="001F5DA5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  <w:hideMark/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«Формирование благоприятного инвестиционного климата»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24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241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235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913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B" w:rsidRPr="00483456" w:rsidTr="002C3D3B">
        <w:trPr>
          <w:trHeight w:val="55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BF1B5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Формирование инвестиционной привлекательности округа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988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BF1B5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Сопровождение инвестиционных проектов, реализуемых на территории округа по принципу «одного окна»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CF6E0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Предоставление мер муниципальной поддержки субъектам инвестиционной деятельности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F44CF0" w:rsidRDefault="002C3D3B" w:rsidP="00F136ED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F44CF0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C3D3B" w:rsidRDefault="002C3D3B" w:rsidP="00BC38D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CF6E06" w:rsidRDefault="002C3D3B" w:rsidP="00F136ED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Пропаганда и популяризация предпринимательской деятельности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1F2F7E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1F2F7E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1F2F7E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10AF3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1F2F7E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1F2F7E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F136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F44CF0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F44CF0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E42127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4212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Реализация комплекса мероприятий по развитию пищевой и перерабатывающей промышленности и потребительского рынка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F136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среднего предпринимательства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41CE9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C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CF6E0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отдел</w:t>
            </w: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у</w:t>
            </w:r>
            <w:r w:rsidRPr="00F329E5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 развития малого и среднего предпринимательства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«Совершенствование системы стратегического управления (планирования)»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hideMark/>
          </w:tcPr>
          <w:p w:rsidR="002C3D3B" w:rsidRPr="00986EA8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210AF3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10A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1F5DA5" w:rsidRDefault="002C3D3B" w:rsidP="002C3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D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BF1B5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bCs/>
                <w:sz w:val="24"/>
                <w:szCs w:val="28"/>
                <w:lang w:eastAsia="ar-SA"/>
              </w:rPr>
              <w:t>Разработка и актуализация документов стратегического планирования округа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D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BF1B56" w:rsidRDefault="002C3D3B" w:rsidP="00210AF3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Государственная регистрация документов стратегического планирования округа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</w:t>
            </w:r>
            <w:r w:rsidRPr="007140A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lastRenderedPageBreak/>
              <w:t>охраняемой законом тайне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  <w:hideMark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tcMar>
              <w:top w:w="0" w:type="dxa"/>
              <w:bottom w:w="0" w:type="dxa"/>
            </w:tcMar>
          </w:tcPr>
          <w:p w:rsidR="002C3D3B" w:rsidRPr="00483456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005" w:type="dxa"/>
            <w:tcMar>
              <w:top w:w="0" w:type="dxa"/>
              <w:bottom w:w="0" w:type="dxa"/>
            </w:tcMar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5EC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Мониторинг и контроль реализации документов стратегического планирования округа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483456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3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 w:val="restart"/>
            <w:tcMar>
              <w:top w:w="0" w:type="dxa"/>
              <w:bottom w:w="0" w:type="dxa"/>
            </w:tcMar>
          </w:tcPr>
          <w:p w:rsidR="002C3D3B" w:rsidRPr="00575124" w:rsidRDefault="002C3D3B" w:rsidP="00F44C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751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05" w:type="dxa"/>
            <w:vMerge w:val="restart"/>
            <w:tcMar>
              <w:top w:w="0" w:type="dxa"/>
              <w:bottom w:w="0" w:type="dxa"/>
            </w:tcMar>
          </w:tcPr>
          <w:p w:rsidR="002C3D3B" w:rsidRPr="00575124" w:rsidRDefault="002C3D3B" w:rsidP="00B262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51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Петровского городского округа Ставропольского края </w:t>
            </w:r>
            <w:r w:rsidRPr="00210A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«Модернизация экономики и улучшение инвестиционного климата» и общепрограммные мероприятия» </w:t>
            </w:r>
          </w:p>
        </w:tc>
        <w:tc>
          <w:tcPr>
            <w:tcW w:w="3083" w:type="dxa"/>
            <w:tcMar>
              <w:top w:w="0" w:type="dxa"/>
              <w:bottom w:w="0" w:type="dxa"/>
            </w:tcMar>
            <w:vAlign w:val="bottom"/>
          </w:tcPr>
          <w:p w:rsidR="002C3D3B" w:rsidRPr="00986EA8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1F5DA5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AA5B66" w:rsidRDefault="002C3D3B" w:rsidP="00AA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AA5B6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AA5B6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AA5B6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AA5B6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AA5B66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B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</w:tcPr>
          <w:p w:rsidR="002C3D3B" w:rsidRPr="00986EA8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107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AA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2C3D3B" w:rsidRPr="00483456" w:rsidTr="002C3D3B">
        <w:trPr>
          <w:trHeight w:val="143"/>
        </w:trPr>
        <w:tc>
          <w:tcPr>
            <w:tcW w:w="673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Mar>
              <w:top w:w="0" w:type="dxa"/>
              <w:bottom w:w="0" w:type="dxa"/>
            </w:tcMar>
          </w:tcPr>
          <w:p w:rsidR="002C3D3B" w:rsidRPr="00575124" w:rsidRDefault="002C3D3B" w:rsidP="00210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tcMar>
              <w:top w:w="0" w:type="dxa"/>
              <w:bottom w:w="0" w:type="dxa"/>
            </w:tcMar>
          </w:tcPr>
          <w:p w:rsidR="002C3D3B" w:rsidRPr="001F5DA5" w:rsidRDefault="002C3D3B" w:rsidP="007E0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6EA8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предусмотренные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отделу стратегического планирования</w:t>
            </w:r>
            <w:proofErr w:type="gramEnd"/>
          </w:p>
        </w:tc>
        <w:tc>
          <w:tcPr>
            <w:tcW w:w="1072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210A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left w:val="single" w:sz="4" w:space="0" w:color="auto"/>
            </w:tcBorders>
            <w:vAlign w:val="bottom"/>
          </w:tcPr>
          <w:p w:rsidR="002C3D3B" w:rsidRPr="002C3D3B" w:rsidRDefault="002C3D3B" w:rsidP="000378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D3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150B" w:rsidRDefault="0023150B" w:rsidP="009F3E11"/>
    <w:sectPr w:rsidR="0023150B" w:rsidSect="005F5D2A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7F2" w:rsidRDefault="005127F2" w:rsidP="00595541">
      <w:pPr>
        <w:spacing w:after="0" w:line="240" w:lineRule="auto"/>
      </w:pPr>
      <w:r>
        <w:separator/>
      </w:r>
    </w:p>
  </w:endnote>
  <w:endnote w:type="continuationSeparator" w:id="0">
    <w:p w:rsidR="005127F2" w:rsidRDefault="005127F2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7F2" w:rsidRDefault="005127F2" w:rsidP="00595541">
      <w:pPr>
        <w:spacing w:after="0" w:line="240" w:lineRule="auto"/>
      </w:pPr>
      <w:r>
        <w:separator/>
      </w:r>
    </w:p>
  </w:footnote>
  <w:footnote w:type="continuationSeparator" w:id="0">
    <w:p w:rsidR="005127F2" w:rsidRDefault="005127F2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89F"/>
    <w:rsid w:val="00004762"/>
    <w:rsid w:val="0000789A"/>
    <w:rsid w:val="00016EFF"/>
    <w:rsid w:val="0002234C"/>
    <w:rsid w:val="00052ED9"/>
    <w:rsid w:val="0006089F"/>
    <w:rsid w:val="00077B03"/>
    <w:rsid w:val="0009206E"/>
    <w:rsid w:val="0009425C"/>
    <w:rsid w:val="000973C6"/>
    <w:rsid w:val="000D3AB8"/>
    <w:rsid w:val="000E0174"/>
    <w:rsid w:val="000E10D6"/>
    <w:rsid w:val="00101924"/>
    <w:rsid w:val="00103447"/>
    <w:rsid w:val="00103C7A"/>
    <w:rsid w:val="00115FD4"/>
    <w:rsid w:val="001203A0"/>
    <w:rsid w:val="00133DB8"/>
    <w:rsid w:val="00183158"/>
    <w:rsid w:val="001C03BD"/>
    <w:rsid w:val="001F3096"/>
    <w:rsid w:val="00210AF3"/>
    <w:rsid w:val="002162D9"/>
    <w:rsid w:val="00216549"/>
    <w:rsid w:val="0023150B"/>
    <w:rsid w:val="00240AA5"/>
    <w:rsid w:val="00241CE9"/>
    <w:rsid w:val="002565D2"/>
    <w:rsid w:val="0026059E"/>
    <w:rsid w:val="0026065E"/>
    <w:rsid w:val="00284099"/>
    <w:rsid w:val="002C3D3B"/>
    <w:rsid w:val="002D0CC0"/>
    <w:rsid w:val="002D3F04"/>
    <w:rsid w:val="003017C3"/>
    <w:rsid w:val="00304192"/>
    <w:rsid w:val="00336ED0"/>
    <w:rsid w:val="00365A78"/>
    <w:rsid w:val="003C2A29"/>
    <w:rsid w:val="003F76C6"/>
    <w:rsid w:val="00413A07"/>
    <w:rsid w:val="00435EC9"/>
    <w:rsid w:val="00436AA9"/>
    <w:rsid w:val="004429D4"/>
    <w:rsid w:val="00442BDE"/>
    <w:rsid w:val="004467A7"/>
    <w:rsid w:val="004732F7"/>
    <w:rsid w:val="004853E1"/>
    <w:rsid w:val="004A228E"/>
    <w:rsid w:val="004D3FA1"/>
    <w:rsid w:val="004E046C"/>
    <w:rsid w:val="005127F2"/>
    <w:rsid w:val="005431C5"/>
    <w:rsid w:val="00560851"/>
    <w:rsid w:val="00560AC2"/>
    <w:rsid w:val="00595541"/>
    <w:rsid w:val="00597C9D"/>
    <w:rsid w:val="005A5C8E"/>
    <w:rsid w:val="005D5389"/>
    <w:rsid w:val="005E058D"/>
    <w:rsid w:val="005F5D2A"/>
    <w:rsid w:val="00603E62"/>
    <w:rsid w:val="00621E9D"/>
    <w:rsid w:val="006825BA"/>
    <w:rsid w:val="006A38E4"/>
    <w:rsid w:val="006A5283"/>
    <w:rsid w:val="006F1FE1"/>
    <w:rsid w:val="006F22D2"/>
    <w:rsid w:val="007343D0"/>
    <w:rsid w:val="007649BC"/>
    <w:rsid w:val="00784CD8"/>
    <w:rsid w:val="007B135C"/>
    <w:rsid w:val="007E029E"/>
    <w:rsid w:val="00820A82"/>
    <w:rsid w:val="008B4249"/>
    <w:rsid w:val="008C1080"/>
    <w:rsid w:val="008D76AF"/>
    <w:rsid w:val="00902E3D"/>
    <w:rsid w:val="009637F9"/>
    <w:rsid w:val="0096537F"/>
    <w:rsid w:val="00976720"/>
    <w:rsid w:val="009A7AA1"/>
    <w:rsid w:val="009D2C9F"/>
    <w:rsid w:val="009F3E11"/>
    <w:rsid w:val="00A22D56"/>
    <w:rsid w:val="00A304D9"/>
    <w:rsid w:val="00A31826"/>
    <w:rsid w:val="00A6343C"/>
    <w:rsid w:val="00A86538"/>
    <w:rsid w:val="00AA52FA"/>
    <w:rsid w:val="00AA56C5"/>
    <w:rsid w:val="00AA5B66"/>
    <w:rsid w:val="00AB1680"/>
    <w:rsid w:val="00AC3C6F"/>
    <w:rsid w:val="00AC62A8"/>
    <w:rsid w:val="00B05CB2"/>
    <w:rsid w:val="00B262E8"/>
    <w:rsid w:val="00B31C28"/>
    <w:rsid w:val="00B51944"/>
    <w:rsid w:val="00B53EB6"/>
    <w:rsid w:val="00B8380B"/>
    <w:rsid w:val="00B87E94"/>
    <w:rsid w:val="00BA7C6E"/>
    <w:rsid w:val="00BE2811"/>
    <w:rsid w:val="00C07918"/>
    <w:rsid w:val="00C13569"/>
    <w:rsid w:val="00C226F2"/>
    <w:rsid w:val="00C6445D"/>
    <w:rsid w:val="00C72700"/>
    <w:rsid w:val="00CA3C6D"/>
    <w:rsid w:val="00CC1C93"/>
    <w:rsid w:val="00CD3F90"/>
    <w:rsid w:val="00D03AE6"/>
    <w:rsid w:val="00D063D0"/>
    <w:rsid w:val="00D1033E"/>
    <w:rsid w:val="00D10440"/>
    <w:rsid w:val="00D10FD5"/>
    <w:rsid w:val="00D525B0"/>
    <w:rsid w:val="00D6624A"/>
    <w:rsid w:val="00D86BBB"/>
    <w:rsid w:val="00DA4221"/>
    <w:rsid w:val="00DA6BF9"/>
    <w:rsid w:val="00DD5830"/>
    <w:rsid w:val="00DE19C0"/>
    <w:rsid w:val="00E12629"/>
    <w:rsid w:val="00E26C19"/>
    <w:rsid w:val="00E420A7"/>
    <w:rsid w:val="00E42127"/>
    <w:rsid w:val="00E564BD"/>
    <w:rsid w:val="00E6311D"/>
    <w:rsid w:val="00E72A6F"/>
    <w:rsid w:val="00EB61CD"/>
    <w:rsid w:val="00EC29EB"/>
    <w:rsid w:val="00ED3B5D"/>
    <w:rsid w:val="00F136ED"/>
    <w:rsid w:val="00F22DA6"/>
    <w:rsid w:val="00F30C84"/>
    <w:rsid w:val="00F35FBA"/>
    <w:rsid w:val="00F36D79"/>
    <w:rsid w:val="00F44CF0"/>
    <w:rsid w:val="00F74ADF"/>
    <w:rsid w:val="00FA22B3"/>
    <w:rsid w:val="00FA2840"/>
    <w:rsid w:val="00FD0DEA"/>
    <w:rsid w:val="00FE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0C3D-07F6-4E16-9A8B-7CC262B6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6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61</cp:revision>
  <cp:lastPrinted>2017-09-13T10:44:00Z</cp:lastPrinted>
  <dcterms:created xsi:type="dcterms:W3CDTF">2015-12-08T13:14:00Z</dcterms:created>
  <dcterms:modified xsi:type="dcterms:W3CDTF">2018-01-05T08:44:00Z</dcterms:modified>
</cp:coreProperties>
</file>