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E8" w:rsidRDefault="00C51BE8" w:rsidP="00C51BE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BE8">
        <w:rPr>
          <w:rFonts w:ascii="Times New Roman" w:hAnsi="Times New Roman" w:cs="Times New Roman"/>
          <w:b/>
          <w:sz w:val="28"/>
          <w:szCs w:val="28"/>
        </w:rPr>
        <w:t>Дополнительные документы, предоставляемые с проектом муниципальной программы «Развитие образования»</w:t>
      </w:r>
    </w:p>
    <w:p w:rsidR="00C51BE8" w:rsidRPr="00C51BE8" w:rsidRDefault="00C51BE8" w:rsidP="00C51BE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67F" w:rsidRDefault="00C51BE8" w:rsidP="00C51B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C51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7DF9" w:rsidRPr="00B47DF9">
        <w:rPr>
          <w:rFonts w:ascii="Times New Roman" w:hAnsi="Times New Roman" w:cs="Times New Roman"/>
          <w:sz w:val="28"/>
          <w:szCs w:val="28"/>
        </w:rPr>
        <w:t>Характ</w:t>
      </w:r>
      <w:r w:rsidR="00B47DF9" w:rsidRPr="00B47DF9">
        <w:rPr>
          <w:rFonts w:ascii="Times New Roman" w:hAnsi="Times New Roman"/>
          <w:sz w:val="28"/>
          <w:szCs w:val="28"/>
        </w:rPr>
        <w:t xml:space="preserve">еристика текущего состояния </w:t>
      </w:r>
      <w:r>
        <w:rPr>
          <w:rFonts w:ascii="Times New Roman" w:hAnsi="Times New Roman"/>
          <w:sz w:val="28"/>
          <w:szCs w:val="28"/>
        </w:rPr>
        <w:t xml:space="preserve">соответствующей </w:t>
      </w:r>
      <w:r w:rsidR="00B47DF9" w:rsidRPr="00B47DF9">
        <w:rPr>
          <w:rFonts w:ascii="Times New Roman" w:hAnsi="Times New Roman"/>
          <w:sz w:val="28"/>
          <w:szCs w:val="28"/>
        </w:rPr>
        <w:t xml:space="preserve">сферы </w:t>
      </w:r>
      <w:r>
        <w:rPr>
          <w:rFonts w:ascii="Times New Roman" w:hAnsi="Times New Roman"/>
          <w:sz w:val="28"/>
          <w:szCs w:val="28"/>
        </w:rPr>
        <w:t xml:space="preserve">социально – экономического развития Петровского </w:t>
      </w:r>
      <w:r w:rsidR="005A35AD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края, её основные показатели и формулировка основных проблем в указанной сфере. </w:t>
      </w:r>
    </w:p>
    <w:p w:rsidR="00C51BE8" w:rsidRPr="00B47DF9" w:rsidRDefault="00C51BE8" w:rsidP="00C51BE8">
      <w:pPr>
        <w:spacing w:after="0" w:line="240" w:lineRule="exact"/>
        <w:jc w:val="center"/>
        <w:rPr>
          <w:sz w:val="28"/>
          <w:szCs w:val="28"/>
        </w:rPr>
      </w:pPr>
    </w:p>
    <w:p w:rsidR="002103B6" w:rsidRPr="00B47DF9" w:rsidRDefault="002103B6" w:rsidP="00210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DF9">
        <w:rPr>
          <w:rFonts w:ascii="Times New Roman" w:hAnsi="Times New Roman"/>
          <w:sz w:val="28"/>
          <w:szCs w:val="28"/>
        </w:rPr>
        <w:t xml:space="preserve">В </w:t>
      </w:r>
      <w:r w:rsidR="00C51BE8">
        <w:rPr>
          <w:rFonts w:ascii="Times New Roman" w:hAnsi="Times New Roman"/>
          <w:sz w:val="28"/>
          <w:szCs w:val="28"/>
        </w:rPr>
        <w:t xml:space="preserve">Петровском </w:t>
      </w:r>
      <w:r w:rsidR="005A35AD">
        <w:rPr>
          <w:rFonts w:ascii="Times New Roman" w:hAnsi="Times New Roman"/>
          <w:sz w:val="28"/>
          <w:szCs w:val="28"/>
        </w:rPr>
        <w:t>городском округе</w:t>
      </w:r>
      <w:r w:rsidRPr="00B47DF9">
        <w:rPr>
          <w:rFonts w:ascii="Times New Roman" w:hAnsi="Times New Roman"/>
          <w:sz w:val="28"/>
          <w:szCs w:val="28"/>
        </w:rPr>
        <w:t xml:space="preserve"> функционируют 19 общеобразовательных организаций, 31 дошкольная организация и 5 организация дополнительного образования детей, а также муниципальное казенное учреждение «Центр развития и поддержки системы образования в Петровском муниципальном районе Ставропольского края». В общеобразовательных организациях обучается</w:t>
      </w:r>
      <w:r w:rsidRPr="00B47DF9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4400F5">
        <w:rPr>
          <w:rFonts w:ascii="Times New Roman" w:hAnsi="Times New Roman"/>
          <w:sz w:val="28"/>
          <w:szCs w:val="28"/>
        </w:rPr>
        <w:t>6400</w:t>
      </w:r>
      <w:r w:rsidR="00492954" w:rsidRPr="006811DE">
        <w:rPr>
          <w:rFonts w:ascii="Times New Roman" w:hAnsi="Times New Roman"/>
          <w:sz w:val="28"/>
          <w:szCs w:val="28"/>
        </w:rPr>
        <w:t xml:space="preserve"> </w:t>
      </w:r>
      <w:r w:rsidR="004400F5">
        <w:rPr>
          <w:rFonts w:ascii="Times New Roman" w:hAnsi="Times New Roman"/>
          <w:sz w:val="28"/>
          <w:szCs w:val="28"/>
        </w:rPr>
        <w:t>детей</w:t>
      </w:r>
      <w:r w:rsidR="006811DE" w:rsidRPr="006811DE">
        <w:rPr>
          <w:rFonts w:ascii="Times New Roman" w:hAnsi="Times New Roman"/>
          <w:sz w:val="28"/>
          <w:szCs w:val="28"/>
        </w:rPr>
        <w:t xml:space="preserve"> по очной форме, 27 - </w:t>
      </w:r>
      <w:r w:rsidRPr="006811DE">
        <w:rPr>
          <w:rFonts w:ascii="Times New Roman" w:hAnsi="Times New Roman"/>
          <w:sz w:val="28"/>
          <w:szCs w:val="28"/>
        </w:rPr>
        <w:t xml:space="preserve"> по заочной форме. </w:t>
      </w:r>
      <w:r w:rsidRPr="00305EFA">
        <w:rPr>
          <w:rFonts w:ascii="Times New Roman" w:hAnsi="Times New Roman"/>
          <w:sz w:val="28"/>
          <w:szCs w:val="28"/>
        </w:rPr>
        <w:t xml:space="preserve">Дошкольные образовательные организации посещают </w:t>
      </w:r>
      <w:r w:rsidR="00AD0C18" w:rsidRPr="00305EFA">
        <w:rPr>
          <w:rFonts w:ascii="Times New Roman" w:eastAsia="Times New Roman" w:hAnsi="Times New Roman" w:cs="Times New Roman"/>
          <w:sz w:val="28"/>
          <w:szCs w:val="28"/>
        </w:rPr>
        <w:t>3262</w:t>
      </w:r>
      <w:r w:rsidR="00AD0C18" w:rsidRPr="00305EFA">
        <w:rPr>
          <w:rFonts w:ascii="Times New Roman" w:hAnsi="Times New Roman" w:cs="Times New Roman"/>
          <w:sz w:val="28"/>
          <w:szCs w:val="28"/>
        </w:rPr>
        <w:t xml:space="preserve"> детей, из них 1842</w:t>
      </w:r>
      <w:r w:rsidRPr="00305EFA">
        <w:rPr>
          <w:rFonts w:ascii="Times New Roman" w:hAnsi="Times New Roman" w:cs="Times New Roman"/>
          <w:sz w:val="28"/>
          <w:szCs w:val="28"/>
        </w:rPr>
        <w:t xml:space="preserve"> детей являются воспитанника</w:t>
      </w:r>
      <w:r w:rsidR="00AD0C18" w:rsidRPr="00305EFA">
        <w:rPr>
          <w:rFonts w:ascii="Times New Roman" w:hAnsi="Times New Roman" w:cs="Times New Roman"/>
          <w:sz w:val="28"/>
          <w:szCs w:val="28"/>
        </w:rPr>
        <w:t>ми городских детских садов, 1420</w:t>
      </w:r>
      <w:r w:rsidRPr="00305EFA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B47DF9">
        <w:rPr>
          <w:rFonts w:ascii="Times New Roman" w:hAnsi="Times New Roman" w:cs="Times New Roman"/>
          <w:sz w:val="28"/>
          <w:szCs w:val="28"/>
        </w:rPr>
        <w:t xml:space="preserve"> посещают дошкольные образовательные организации, расположенные</w:t>
      </w:r>
      <w:r w:rsidRPr="00B47DF9">
        <w:rPr>
          <w:rFonts w:ascii="Times New Roman" w:hAnsi="Times New Roman"/>
          <w:sz w:val="28"/>
          <w:szCs w:val="28"/>
        </w:rPr>
        <w:t xml:space="preserve"> в сельских поселениях.</w:t>
      </w:r>
    </w:p>
    <w:p w:rsidR="002103B6" w:rsidRPr="00B47DF9" w:rsidRDefault="00305EFA" w:rsidP="002103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Постепенно решается  вопрос об</w:t>
      </w:r>
      <w:r w:rsidR="002103B6" w:rsidRPr="00B47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обеспечении</w:t>
      </w:r>
      <w:r w:rsidR="002103B6" w:rsidRPr="00B47DF9">
        <w:rPr>
          <w:rFonts w:ascii="Times New Roman" w:hAnsi="Times New Roman"/>
          <w:sz w:val="28"/>
          <w:szCs w:val="28"/>
        </w:rPr>
        <w:t xml:space="preserve"> конституционного права граждан на получение общедоступного дошкольного образования. Удовлетворение потребности населения в услугах дошкольного образования в районе в среднем составляет  79% (в городе – 75%, в сельских поселениях –84%).</w:t>
      </w:r>
    </w:p>
    <w:p w:rsidR="002103B6" w:rsidRPr="00B47DF9" w:rsidRDefault="00305EFA" w:rsidP="00210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DF9">
        <w:rPr>
          <w:rFonts w:ascii="Times New Roman" w:hAnsi="Times New Roman"/>
          <w:sz w:val="28"/>
          <w:szCs w:val="28"/>
        </w:rPr>
        <w:t>Общая численность детей дошкольного возраста в</w:t>
      </w:r>
      <w:r>
        <w:rPr>
          <w:rFonts w:ascii="Times New Roman" w:hAnsi="Times New Roman"/>
          <w:sz w:val="28"/>
          <w:szCs w:val="28"/>
        </w:rPr>
        <w:t xml:space="preserve"> Петровском районе на </w:t>
      </w:r>
      <w:r w:rsidRPr="00305EFA">
        <w:rPr>
          <w:rFonts w:ascii="Times New Roman" w:hAnsi="Times New Roman"/>
          <w:sz w:val="28"/>
          <w:szCs w:val="28"/>
        </w:rPr>
        <w:t>01.01.2017 года от 0 до 7 лет составляет 6643 ребенка.</w:t>
      </w:r>
      <w:r w:rsidRPr="00305EFA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2103B6" w:rsidRPr="00305EFA">
        <w:rPr>
          <w:rFonts w:ascii="Times New Roman" w:eastAsia="Times New Roman" w:hAnsi="Times New Roman" w:cs="Times New Roman"/>
          <w:sz w:val="28"/>
          <w:szCs w:val="28"/>
        </w:rPr>
        <w:t>исленность детей стоящих в очереди в дош</w:t>
      </w:r>
      <w:r w:rsidRPr="00305EFA">
        <w:rPr>
          <w:rFonts w:ascii="Times New Roman" w:eastAsia="Times New Roman" w:hAnsi="Times New Roman" w:cs="Times New Roman"/>
          <w:sz w:val="28"/>
          <w:szCs w:val="28"/>
        </w:rPr>
        <w:t>кольные учреждения на 01.12.2017 года составляет 630</w:t>
      </w:r>
      <w:r w:rsidR="002103B6" w:rsidRPr="00305EFA">
        <w:rPr>
          <w:rFonts w:ascii="Times New Roman" w:eastAsia="Times New Roman" w:hAnsi="Times New Roman" w:cs="Times New Roman"/>
          <w:sz w:val="28"/>
          <w:szCs w:val="28"/>
        </w:rPr>
        <w:t xml:space="preserve"> че</w:t>
      </w:r>
      <w:r w:rsidRPr="00305EFA">
        <w:rPr>
          <w:rFonts w:ascii="Times New Roman" w:eastAsia="Times New Roman" w:hAnsi="Times New Roman" w:cs="Times New Roman"/>
          <w:sz w:val="28"/>
          <w:szCs w:val="28"/>
        </w:rPr>
        <w:t>ловек в возрасте от 0 до 3 лет,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218 детей меньше, чем в предыдущем году. </w:t>
      </w:r>
      <w:r w:rsidR="002103B6" w:rsidRPr="00B47DF9">
        <w:rPr>
          <w:rFonts w:ascii="Times New Roman" w:eastAsia="Times New Roman" w:hAnsi="Times New Roman" w:cs="Times New Roman"/>
          <w:sz w:val="28"/>
          <w:szCs w:val="28"/>
        </w:rPr>
        <w:t xml:space="preserve">Очередность детей сохраняется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только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2103B6" w:rsidRPr="00B47DF9">
        <w:rPr>
          <w:rFonts w:ascii="Times New Roman" w:eastAsia="Times New Roman" w:hAnsi="Times New Roman" w:cs="Times New Roman"/>
          <w:sz w:val="28"/>
          <w:szCs w:val="28"/>
        </w:rPr>
        <w:t xml:space="preserve"> с. Константиновское. </w:t>
      </w:r>
      <w:r w:rsidR="002103B6" w:rsidRPr="00B47DF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2103B6" w:rsidRPr="00B47DF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103B6" w:rsidRPr="00B47DF9">
        <w:rPr>
          <w:rFonts w:ascii="Times New Roman" w:hAnsi="Times New Roman" w:cs="Times New Roman"/>
          <w:sz w:val="28"/>
          <w:szCs w:val="28"/>
        </w:rPr>
        <w:t xml:space="preserve">. Светлограде очередность ликвидирована с вводом в эксплуатацию </w:t>
      </w:r>
      <w:r>
        <w:rPr>
          <w:rFonts w:ascii="Times New Roman" w:hAnsi="Times New Roman" w:cs="Times New Roman"/>
          <w:sz w:val="28"/>
          <w:szCs w:val="28"/>
        </w:rPr>
        <w:t xml:space="preserve">нового </w:t>
      </w:r>
      <w:r w:rsidR="002103B6" w:rsidRPr="00B47DF9">
        <w:rPr>
          <w:rFonts w:ascii="Times New Roman" w:hAnsi="Times New Roman" w:cs="Times New Roman"/>
          <w:sz w:val="28"/>
          <w:szCs w:val="28"/>
        </w:rPr>
        <w:t xml:space="preserve">детского сада </w:t>
      </w:r>
      <w:r>
        <w:rPr>
          <w:rFonts w:ascii="Times New Roman" w:hAnsi="Times New Roman" w:cs="Times New Roman"/>
          <w:sz w:val="28"/>
          <w:szCs w:val="28"/>
        </w:rPr>
        <w:t xml:space="preserve">№ 48 «Одуванчик». </w:t>
      </w:r>
    </w:p>
    <w:p w:rsidR="002103B6" w:rsidRPr="00B47DF9" w:rsidRDefault="002103B6" w:rsidP="00820D96">
      <w:pPr>
        <w:pStyle w:val="a7"/>
        <w:ind w:left="0" w:firstLine="708"/>
        <w:rPr>
          <w:szCs w:val="28"/>
        </w:rPr>
      </w:pPr>
      <w:r w:rsidRPr="00B47DF9">
        <w:rPr>
          <w:szCs w:val="28"/>
        </w:rPr>
        <w:t>Проектная м</w:t>
      </w:r>
      <w:r w:rsidRPr="00B47DF9">
        <w:t xml:space="preserve">ощность </w:t>
      </w:r>
      <w:r w:rsidRPr="00B47DF9">
        <w:rPr>
          <w:szCs w:val="28"/>
        </w:rPr>
        <w:t xml:space="preserve">МКДОУ ДС № 41 «Сказка», функционирующего детского сада </w:t>
      </w:r>
      <w:proofErr w:type="gramStart"/>
      <w:r w:rsidRPr="00B47DF9">
        <w:rPr>
          <w:szCs w:val="28"/>
        </w:rPr>
        <w:t>в</w:t>
      </w:r>
      <w:proofErr w:type="gramEnd"/>
      <w:r w:rsidRPr="00B47DF9">
        <w:rPr>
          <w:szCs w:val="28"/>
        </w:rPr>
        <w:t xml:space="preserve"> с. Константиновское, </w:t>
      </w:r>
      <w:r w:rsidRPr="00B47DF9">
        <w:t xml:space="preserve"> не соответствует </w:t>
      </w:r>
      <w:proofErr w:type="gramStart"/>
      <w:r w:rsidRPr="00B47DF9">
        <w:t>количеству</w:t>
      </w:r>
      <w:proofErr w:type="gramEnd"/>
      <w:r w:rsidRPr="00B47DF9">
        <w:t xml:space="preserve"> детей дошкольного возраста, проживающих в  данном населенном пункте. В связи с этим сохраняется очередность, которая составляет </w:t>
      </w:r>
      <w:r w:rsidRPr="00B47DF9">
        <w:rPr>
          <w:szCs w:val="28"/>
        </w:rPr>
        <w:t xml:space="preserve"> 88 детей в возрасте от 0 до 3 лет. </w:t>
      </w:r>
    </w:p>
    <w:p w:rsidR="002103B6" w:rsidRPr="00B47DF9" w:rsidRDefault="002103B6" w:rsidP="00210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DF9">
        <w:rPr>
          <w:rFonts w:ascii="Times New Roman" w:hAnsi="Times New Roman"/>
          <w:sz w:val="28"/>
          <w:szCs w:val="28"/>
        </w:rPr>
        <w:t xml:space="preserve">Таким образом, необходимо принимать меры по расширению дошкольной образовательной организации </w:t>
      </w:r>
      <w:proofErr w:type="gramStart"/>
      <w:r w:rsidRPr="00B47DF9">
        <w:rPr>
          <w:rFonts w:ascii="Times New Roman" w:hAnsi="Times New Roman"/>
          <w:sz w:val="28"/>
          <w:szCs w:val="28"/>
        </w:rPr>
        <w:t>в</w:t>
      </w:r>
      <w:proofErr w:type="gramEnd"/>
      <w:r w:rsidRPr="00B47DF9">
        <w:rPr>
          <w:rFonts w:ascii="Times New Roman" w:hAnsi="Times New Roman"/>
          <w:sz w:val="28"/>
          <w:szCs w:val="28"/>
        </w:rPr>
        <w:t xml:space="preserve"> с. Константиновское </w:t>
      </w:r>
      <w:proofErr w:type="gramStart"/>
      <w:r w:rsidRPr="00B47DF9">
        <w:rPr>
          <w:rFonts w:ascii="Times New Roman" w:hAnsi="Times New Roman"/>
          <w:sz w:val="28"/>
          <w:szCs w:val="28"/>
        </w:rPr>
        <w:t>для</w:t>
      </w:r>
      <w:proofErr w:type="gramEnd"/>
      <w:r w:rsidRPr="00B47DF9">
        <w:rPr>
          <w:rFonts w:ascii="Times New Roman" w:hAnsi="Times New Roman"/>
          <w:sz w:val="28"/>
          <w:szCs w:val="28"/>
        </w:rPr>
        <w:t xml:space="preserve"> обеспечения важнейшего принципа образования – его доступности.</w:t>
      </w:r>
    </w:p>
    <w:p w:rsidR="002103B6" w:rsidRPr="00B47DF9" w:rsidRDefault="002103B6" w:rsidP="00210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DF9">
        <w:rPr>
          <w:rFonts w:ascii="Times New Roman" w:hAnsi="Times New Roman"/>
          <w:sz w:val="28"/>
          <w:szCs w:val="28"/>
        </w:rPr>
        <w:t>В настоящее время в районе увеличилось количество образовательных организаций, имеющих учебно-лабораторную и технологическую базу, соответствующую современным требованиям. Все общеобразовательные организации подключены к информационно-телекоммуникационной сети «Интернет». Это сделало возможным внедрение  дистанционного обучения обучающихся на базе Центра дистанционного обучения (МБОУ СОШ №4), а также дистанционного обучения детей-инвалидов.</w:t>
      </w:r>
    </w:p>
    <w:p w:rsidR="002103B6" w:rsidRPr="00B47DF9" w:rsidRDefault="002103B6" w:rsidP="00210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DF9">
        <w:rPr>
          <w:rFonts w:ascii="Times New Roman" w:hAnsi="Times New Roman"/>
          <w:sz w:val="28"/>
          <w:szCs w:val="28"/>
        </w:rPr>
        <w:t xml:space="preserve">Качественные изменения и новые технические возможности организации учебного процесса в образовательных организациях района </w:t>
      </w:r>
      <w:r w:rsidRPr="00B47DF9">
        <w:rPr>
          <w:rFonts w:ascii="Times New Roman" w:hAnsi="Times New Roman"/>
          <w:sz w:val="28"/>
          <w:szCs w:val="28"/>
        </w:rPr>
        <w:lastRenderedPageBreak/>
        <w:t xml:space="preserve">позволили сохранить стабильное число обучающихся, охваченных олимпиадным движением. Кроме того, в районе многие годы проводятся научно-практическая конференция «Первые шаги в науку», олимпиада для первоклассников </w:t>
      </w:r>
      <w:r w:rsidRPr="00B47DF9">
        <w:rPr>
          <w:rFonts w:ascii="Times New Roman" w:hAnsi="Times New Roman"/>
          <w:bCs/>
          <w:sz w:val="28"/>
          <w:szCs w:val="28"/>
        </w:rPr>
        <w:t xml:space="preserve">«Созвездие», районная олимпиада младших школьников, </w:t>
      </w:r>
      <w:r w:rsidRPr="00B47DF9">
        <w:rPr>
          <w:rFonts w:ascii="Times New Roman" w:hAnsi="Times New Roman"/>
          <w:sz w:val="28"/>
          <w:szCs w:val="28"/>
        </w:rPr>
        <w:t>действует при МКОУ ДОД РДЭЦ Малая академия наук. Вместе с тем необходимо дальнейшее развитие системы выявления детей, проявляющих выдающиеся способности, их сопровождения и мониторинга дальнейшего развития, привлечение их к участию в краевых и муниципальных конкурсах и олимпиадах.</w:t>
      </w:r>
    </w:p>
    <w:p w:rsidR="002103B6" w:rsidRPr="00B47DF9" w:rsidRDefault="002103B6" w:rsidP="002103B6">
      <w:pPr>
        <w:pStyle w:val="a3"/>
        <w:ind w:firstLine="540"/>
        <w:jc w:val="both"/>
        <w:rPr>
          <w:szCs w:val="28"/>
        </w:rPr>
      </w:pPr>
      <w:r w:rsidRPr="00B47DF9">
        <w:rPr>
          <w:szCs w:val="28"/>
        </w:rPr>
        <w:t xml:space="preserve">Качество образования напрямую зависит от уровня профессиональной компетентности педагогических работников. Реализация задач модернизации образования требует профессиональной и социальной состоятельности педагогических и руководящих кадров образовательных организаций. Анализ кадрового состава образовательных организаций района позволяет отметить, что по - </w:t>
      </w:r>
      <w:proofErr w:type="gramStart"/>
      <w:r w:rsidRPr="00B47DF9">
        <w:rPr>
          <w:szCs w:val="28"/>
        </w:rPr>
        <w:t>прежнему</w:t>
      </w:r>
      <w:proofErr w:type="gramEnd"/>
      <w:r w:rsidRPr="00B47DF9">
        <w:rPr>
          <w:szCs w:val="28"/>
        </w:rPr>
        <w:t xml:space="preserve"> в системе образования сохраняются следующие проблем: старение кадров, дефицит педагогов отдельной предметной направленности, увеличение количества </w:t>
      </w:r>
      <w:proofErr w:type="spellStart"/>
      <w:r w:rsidRPr="00B47DF9">
        <w:rPr>
          <w:szCs w:val="28"/>
        </w:rPr>
        <w:t>учителей-многопредметников</w:t>
      </w:r>
      <w:proofErr w:type="spellEnd"/>
      <w:r w:rsidRPr="00B47DF9">
        <w:rPr>
          <w:szCs w:val="28"/>
        </w:rPr>
        <w:t>.</w:t>
      </w:r>
    </w:p>
    <w:p w:rsidR="002103B6" w:rsidRPr="00B47DF9" w:rsidRDefault="002103B6" w:rsidP="002103B6">
      <w:pPr>
        <w:pStyle w:val="a5"/>
        <w:ind w:left="0" w:firstLine="540"/>
        <w:jc w:val="both"/>
        <w:rPr>
          <w:b w:val="0"/>
          <w:szCs w:val="28"/>
        </w:rPr>
      </w:pPr>
      <w:r w:rsidRPr="00B47DF9">
        <w:rPr>
          <w:b w:val="0"/>
          <w:szCs w:val="28"/>
        </w:rPr>
        <w:t xml:space="preserve">Особая роль в решении проблемы привлечения молодых специалистов в образовательные организации Петровского района принадлежит реализации </w:t>
      </w:r>
      <w:r w:rsidR="002765CB">
        <w:rPr>
          <w:b w:val="0"/>
          <w:szCs w:val="28"/>
        </w:rPr>
        <w:t>муниципальных</w:t>
      </w:r>
      <w:r w:rsidRPr="00B47DF9">
        <w:rPr>
          <w:b w:val="0"/>
          <w:szCs w:val="28"/>
        </w:rPr>
        <w:t xml:space="preserve"> программ, где одним из направлений является поддержка молодых педагогов, пришедших в образовательные организации района. </w:t>
      </w:r>
    </w:p>
    <w:p w:rsidR="002103B6" w:rsidRPr="00B47DF9" w:rsidRDefault="002103B6" w:rsidP="002103B6">
      <w:pPr>
        <w:pStyle w:val="a5"/>
        <w:ind w:left="0" w:firstLine="540"/>
        <w:jc w:val="both"/>
        <w:rPr>
          <w:b w:val="0"/>
          <w:szCs w:val="28"/>
        </w:rPr>
      </w:pPr>
      <w:r w:rsidRPr="00B47DF9">
        <w:rPr>
          <w:b w:val="0"/>
          <w:szCs w:val="28"/>
        </w:rPr>
        <w:t>Однако модернизация системы образования требует дальнейшего профессионального развития педагогических кадров, в том числе через конкурсы профессионального мастерства.</w:t>
      </w:r>
    </w:p>
    <w:p w:rsidR="002103B6" w:rsidRPr="00B47DF9" w:rsidRDefault="002103B6" w:rsidP="002103B6">
      <w:pPr>
        <w:pStyle w:val="a3"/>
        <w:ind w:firstLine="540"/>
        <w:jc w:val="both"/>
        <w:rPr>
          <w:szCs w:val="28"/>
        </w:rPr>
      </w:pPr>
      <w:r w:rsidRPr="00B47DF9">
        <w:rPr>
          <w:szCs w:val="28"/>
        </w:rPr>
        <w:t>Необходимо отметить, что в районе накоплен положительный опыт по развитию системы дополнительного (внешкольного) образования детей и молодёжи, укреплению воспитательного потенциала образовательных организаций. Всеми формами творческого развития в районе охвачено более 66% школьников. Вместе с тем, в целях формирования социально активной творческой молодёжи, профилактики асоциального поведения школьников, необходима дальнейшая координация действий по привлечению детей и молодёжи к участию в общественных движениях, массовых мероприятиях по различным направлениям.</w:t>
      </w:r>
    </w:p>
    <w:p w:rsidR="002103B6" w:rsidRPr="00B47DF9" w:rsidRDefault="002103B6" w:rsidP="002103B6">
      <w:pPr>
        <w:pStyle w:val="a3"/>
        <w:ind w:firstLine="540"/>
        <w:jc w:val="both"/>
        <w:rPr>
          <w:szCs w:val="28"/>
        </w:rPr>
      </w:pPr>
      <w:r w:rsidRPr="00B47DF9">
        <w:rPr>
          <w:szCs w:val="28"/>
        </w:rPr>
        <w:t>Важной задачей системы образования Петровского муниципального района является организация досуга и воспитания детей и подростков в летний период, базирующаяся на интересах детей, семьи, использовании современных педагогических технологий, применении во</w:t>
      </w:r>
      <w:r w:rsidR="006811DE">
        <w:rPr>
          <w:szCs w:val="28"/>
        </w:rPr>
        <w:t>стребованных форм работы. В 2017 году в 21 пришкольном лагере отдохнули 1523</w:t>
      </w:r>
      <w:r w:rsidRPr="00B47DF9">
        <w:rPr>
          <w:szCs w:val="28"/>
        </w:rPr>
        <w:t xml:space="preserve"> человека. </w:t>
      </w:r>
      <w:proofErr w:type="gramStart"/>
      <w:r w:rsidRPr="00B47DF9">
        <w:rPr>
          <w:szCs w:val="28"/>
        </w:rPr>
        <w:t>Особое внимание уделено детям, находящимся в трудной жизненной ситуации: 100% учащихся, стоящих на всех видах учета, охвачены отдыхом и трудовой занятостью.</w:t>
      </w:r>
      <w:proofErr w:type="gramEnd"/>
      <w:r w:rsidRPr="00B47DF9">
        <w:rPr>
          <w:szCs w:val="28"/>
        </w:rPr>
        <w:t xml:space="preserve"> Кроме того, в районе организуются площ</w:t>
      </w:r>
      <w:r w:rsidR="006811DE">
        <w:rPr>
          <w:szCs w:val="28"/>
        </w:rPr>
        <w:t>адки по месту жительства (в 2017</w:t>
      </w:r>
      <w:r w:rsidRPr="00B47DF9">
        <w:rPr>
          <w:szCs w:val="28"/>
        </w:rPr>
        <w:t xml:space="preserve"> году организовано 29 площадок),</w:t>
      </w:r>
      <w:r w:rsidR="006811DE">
        <w:rPr>
          <w:szCs w:val="28"/>
        </w:rPr>
        <w:t xml:space="preserve"> которые обеспечили отдых для 1</w:t>
      </w:r>
      <w:r w:rsidRPr="00B47DF9">
        <w:rPr>
          <w:szCs w:val="28"/>
        </w:rPr>
        <w:t xml:space="preserve"> ребенка. В районе функционирует один загородный лагерь – «Родничок», на базе которого </w:t>
      </w:r>
      <w:r w:rsidRPr="00B47DF9">
        <w:rPr>
          <w:szCs w:val="28"/>
        </w:rPr>
        <w:lastRenderedPageBreak/>
        <w:t>отдохнули в 201</w:t>
      </w:r>
      <w:r w:rsidR="006811DE">
        <w:rPr>
          <w:szCs w:val="28"/>
        </w:rPr>
        <w:t>7 году 730</w:t>
      </w:r>
      <w:r w:rsidRPr="00B47DF9">
        <w:rPr>
          <w:szCs w:val="28"/>
        </w:rPr>
        <w:t xml:space="preserve"> человек, в том числе из других муниципальных районов.</w:t>
      </w:r>
    </w:p>
    <w:p w:rsidR="002103B6" w:rsidRPr="00B47DF9" w:rsidRDefault="002103B6" w:rsidP="002103B6">
      <w:pPr>
        <w:pStyle w:val="a3"/>
        <w:ind w:firstLine="540"/>
        <w:jc w:val="both"/>
        <w:rPr>
          <w:szCs w:val="28"/>
        </w:rPr>
      </w:pPr>
      <w:r w:rsidRPr="00B47DF9">
        <w:rPr>
          <w:szCs w:val="28"/>
        </w:rPr>
        <w:t>Вместе с тем наблюдается тенденция к сокращению числа учащихся, охваченных отдыхом в пришкольных лагерях, что требует дальнейшего увеличения финансирования деятельности пришкольных лагерей и увеличения охвата данным видом отдыха школьников.</w:t>
      </w:r>
    </w:p>
    <w:p w:rsidR="002103B6" w:rsidRDefault="002103B6" w:rsidP="002103B6">
      <w:pPr>
        <w:pStyle w:val="a3"/>
        <w:ind w:firstLine="540"/>
        <w:jc w:val="both"/>
        <w:rPr>
          <w:szCs w:val="28"/>
        </w:rPr>
      </w:pPr>
      <w:r w:rsidRPr="00B47DF9">
        <w:rPr>
          <w:szCs w:val="28"/>
        </w:rPr>
        <w:t>Приоритетными направлениями в работе образовательных организаций района остаются вопросы укрепления их материальной и учебной базы, что позволит внедрить современные образовательные технологии в образовательный процесс, а это, в свою очередь, предполагает выделение средств на приобретение современного лабораторного и учебного оборудования, компьютерной техникой. Кроме того, реализация Программы позволит улучшить техническое состояние зданий и сооружений образовательных организаций, создать условия для обучения детей, соответствующие современным требованиям.</w:t>
      </w:r>
    </w:p>
    <w:p w:rsidR="004F3050" w:rsidRDefault="004F3050" w:rsidP="00D93DC5">
      <w:pPr>
        <w:pStyle w:val="ConsNonformat"/>
        <w:widowControl/>
        <w:spacing w:line="240" w:lineRule="exact"/>
        <w:ind w:right="-426"/>
        <w:jc w:val="center"/>
        <w:rPr>
          <w:rFonts w:ascii="Times New Roman" w:hAnsi="Times New Roman" w:cs="Times New Roman"/>
          <w:sz w:val="28"/>
          <w:szCs w:val="28"/>
        </w:rPr>
      </w:pPr>
    </w:p>
    <w:p w:rsidR="00950B72" w:rsidRDefault="00950B72" w:rsidP="00D93DC5">
      <w:pPr>
        <w:pStyle w:val="ConsNonformat"/>
        <w:widowControl/>
        <w:spacing w:line="240" w:lineRule="exact"/>
        <w:ind w:right="-5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50B72">
        <w:rPr>
          <w:rFonts w:ascii="Times New Roman" w:hAnsi="Times New Roman" w:cs="Times New Roman"/>
          <w:sz w:val="28"/>
          <w:szCs w:val="28"/>
        </w:rPr>
        <w:t>2. Обоснование необходимых объемов бюджетных ассигнований районного бюджет</w:t>
      </w:r>
      <w:r>
        <w:rPr>
          <w:rFonts w:ascii="Times New Roman" w:hAnsi="Times New Roman" w:cs="Times New Roman"/>
          <w:sz w:val="28"/>
          <w:szCs w:val="28"/>
        </w:rPr>
        <w:t>а по каждому основному мероприятию подпрограмм Пр</w:t>
      </w:r>
      <w:r w:rsidRPr="00950B72">
        <w:rPr>
          <w:rFonts w:ascii="Times New Roman" w:hAnsi="Times New Roman" w:cs="Times New Roman"/>
          <w:sz w:val="28"/>
          <w:szCs w:val="28"/>
        </w:rPr>
        <w:t>ограммы.</w:t>
      </w:r>
    </w:p>
    <w:p w:rsidR="009C46B6" w:rsidRDefault="009C46B6" w:rsidP="00D93DC5">
      <w:pPr>
        <w:pStyle w:val="ConsNonformat"/>
        <w:widowControl/>
        <w:spacing w:line="240" w:lineRule="exact"/>
        <w:ind w:right="-42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0B72" w:rsidRDefault="00950B72" w:rsidP="009C46B6">
      <w:pPr>
        <w:pStyle w:val="ConsNonformat"/>
        <w:widowControl/>
        <w:ind w:right="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Программы планируется осуществлять за счет средств </w:t>
      </w:r>
      <w:r w:rsidR="005F22C9">
        <w:rPr>
          <w:rFonts w:ascii="Times New Roman" w:hAnsi="Times New Roman" w:cs="Times New Roman"/>
          <w:sz w:val="28"/>
          <w:szCs w:val="28"/>
        </w:rPr>
        <w:t>бюджета Ставропольского края (далее - краевой бюджет) и бюджета Петровского муниципального района Ставропольского края (далее - районный бюджет)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46B6" w:rsidRPr="009C46B6" w:rsidRDefault="009C46B6" w:rsidP="009C46B6">
      <w:pPr>
        <w:pStyle w:val="ConsNonformat"/>
        <w:widowControl/>
        <w:ind w:right="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составит </w:t>
      </w:r>
      <w:r w:rsidRPr="009C46B6">
        <w:rPr>
          <w:rFonts w:ascii="Times New Roman" w:hAnsi="Times New Roman" w:cs="Times New Roman"/>
          <w:sz w:val="28"/>
          <w:szCs w:val="28"/>
        </w:rPr>
        <w:t>3820539,18 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9C46B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8647"/>
      </w:tblGrid>
      <w:tr w:rsidR="009C46B6" w:rsidRPr="00812BC2" w:rsidTr="009C46B6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46B6" w:rsidRPr="00812BC2" w:rsidRDefault="009C46B6" w:rsidP="009C46B6">
            <w:pPr>
              <w:ind w:right="2507"/>
              <w:rPr>
                <w:sz w:val="28"/>
                <w:szCs w:val="28"/>
              </w:rPr>
            </w:pPr>
          </w:p>
        </w:tc>
        <w:tc>
          <w:tcPr>
            <w:tcW w:w="86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765CB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за счет средств бюджета</w:t>
            </w:r>
            <w:r w:rsidR="002765CB">
              <w:rPr>
                <w:sz w:val="28"/>
                <w:szCs w:val="28"/>
              </w:rPr>
              <w:t xml:space="preserve"> Петровского городского округа </w:t>
            </w:r>
          </w:p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1737427,76</w:t>
            </w:r>
            <w:r w:rsidRPr="00812BC2">
              <w:rPr>
                <w:sz w:val="28"/>
                <w:szCs w:val="28"/>
              </w:rPr>
              <w:t xml:space="preserve"> тыс. рублей, в том </w:t>
            </w:r>
          </w:p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 xml:space="preserve">в 2016 году – </w:t>
            </w:r>
            <w:r>
              <w:rPr>
                <w:sz w:val="28"/>
                <w:szCs w:val="28"/>
              </w:rPr>
              <w:t>290680,80</w:t>
            </w:r>
            <w:r w:rsidRPr="00812BC2">
              <w:rPr>
                <w:sz w:val="28"/>
                <w:szCs w:val="28"/>
              </w:rPr>
              <w:t xml:space="preserve"> тыс. рублей;</w:t>
            </w:r>
          </w:p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в 2017 году – 288399,94 тыс. рублей;</w:t>
            </w:r>
          </w:p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в 2018 году – 289586,76 тыс. рублей:</w:t>
            </w:r>
          </w:p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в 2019 году – 289586,76 тыс. рублей;</w:t>
            </w:r>
          </w:p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в 2020 году – 289586,76 тыс. рублей;</w:t>
            </w:r>
          </w:p>
          <w:p w:rsidR="009C46B6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в 2021 году – 289586,76 тыс. рублей</w:t>
            </w:r>
            <w:r>
              <w:rPr>
                <w:sz w:val="28"/>
                <w:szCs w:val="28"/>
              </w:rPr>
              <w:t>.</w:t>
            </w:r>
          </w:p>
          <w:p w:rsidR="009C46B6" w:rsidRPr="00D93DC5" w:rsidRDefault="009C46B6" w:rsidP="009C46B6">
            <w:pPr>
              <w:pStyle w:val="ConsPlusNormal"/>
              <w:ind w:left="-2773" w:firstLine="2773"/>
              <w:jc w:val="both"/>
              <w:rPr>
                <w:sz w:val="16"/>
                <w:szCs w:val="16"/>
              </w:rPr>
            </w:pPr>
          </w:p>
          <w:p w:rsidR="002765CB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 xml:space="preserve">за счет прогнозных поступлений из бюджета </w:t>
            </w:r>
            <w:r w:rsidR="002765CB">
              <w:rPr>
                <w:sz w:val="28"/>
                <w:szCs w:val="28"/>
              </w:rPr>
              <w:t>Ставропольского края –</w:t>
            </w:r>
          </w:p>
          <w:p w:rsidR="009C46B6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2090591,25</w:t>
            </w:r>
            <w:r w:rsidRPr="00812BC2">
              <w:rPr>
                <w:sz w:val="28"/>
                <w:szCs w:val="28"/>
              </w:rPr>
              <w:t xml:space="preserve"> тыс. рублей, в том числе </w:t>
            </w:r>
            <w:proofErr w:type="gramStart"/>
            <w:r w:rsidRPr="00812BC2">
              <w:rPr>
                <w:sz w:val="28"/>
                <w:szCs w:val="28"/>
              </w:rPr>
              <w:t>по</w:t>
            </w:r>
            <w:proofErr w:type="gramEnd"/>
            <w:r w:rsidRPr="00812B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том числе по </w:t>
            </w:r>
            <w:r w:rsidRPr="00812BC2">
              <w:rPr>
                <w:sz w:val="28"/>
                <w:szCs w:val="28"/>
              </w:rPr>
              <w:t>годам:</w:t>
            </w:r>
          </w:p>
          <w:p w:rsidR="009C46B6" w:rsidRPr="00812BC2" w:rsidRDefault="009C46B6" w:rsidP="009C46B6">
            <w:pPr>
              <w:spacing w:after="0" w:line="240" w:lineRule="auto"/>
              <w:ind w:left="-2773" w:firstLine="2773"/>
              <w:rPr>
                <w:rFonts w:ascii="Times New Roman" w:hAnsi="Times New Roman" w:cs="Times New Roman"/>
                <w:sz w:val="28"/>
                <w:szCs w:val="28"/>
              </w:rPr>
            </w:pP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351565,10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46B6" w:rsidRPr="00812BC2" w:rsidRDefault="009C46B6" w:rsidP="009C46B6">
            <w:pPr>
              <w:spacing w:after="0" w:line="240" w:lineRule="auto"/>
              <w:ind w:left="-2773" w:firstLine="2773"/>
              <w:rPr>
                <w:rFonts w:ascii="Times New Roman" w:hAnsi="Times New Roman" w:cs="Times New Roman"/>
                <w:sz w:val="28"/>
                <w:szCs w:val="28"/>
              </w:rPr>
            </w:pP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>в 2017 году – 347805,23 тыс. рублей;</w:t>
            </w:r>
          </w:p>
          <w:p w:rsidR="009C46B6" w:rsidRPr="00812BC2" w:rsidRDefault="009C46B6" w:rsidP="009C46B6">
            <w:pPr>
              <w:spacing w:after="0" w:line="240" w:lineRule="auto"/>
              <w:ind w:left="-2773" w:firstLine="2773"/>
              <w:rPr>
                <w:rFonts w:ascii="Times New Roman" w:hAnsi="Times New Roman" w:cs="Times New Roman"/>
                <w:sz w:val="28"/>
                <w:szCs w:val="28"/>
              </w:rPr>
            </w:pP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>в 2018 году – 347805,23 тыс. рублей;</w:t>
            </w:r>
          </w:p>
          <w:p w:rsidR="009C46B6" w:rsidRPr="00812BC2" w:rsidRDefault="009C46B6" w:rsidP="009C46B6">
            <w:pPr>
              <w:spacing w:after="0" w:line="240" w:lineRule="auto"/>
              <w:ind w:left="-2773" w:firstLine="2773"/>
              <w:rPr>
                <w:rFonts w:ascii="Times New Roman" w:hAnsi="Times New Roman" w:cs="Times New Roman"/>
                <w:sz w:val="28"/>
                <w:szCs w:val="28"/>
              </w:rPr>
            </w:pP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>в 2019 году – 347805,23 тыс. рублей;</w:t>
            </w:r>
          </w:p>
          <w:p w:rsidR="009C46B6" w:rsidRPr="00812BC2" w:rsidRDefault="009C46B6" w:rsidP="009C46B6">
            <w:pPr>
              <w:spacing w:after="0" w:line="240" w:lineRule="auto"/>
              <w:ind w:left="-2773" w:firstLine="2773"/>
              <w:rPr>
                <w:rFonts w:ascii="Times New Roman" w:hAnsi="Times New Roman" w:cs="Times New Roman"/>
                <w:sz w:val="28"/>
                <w:szCs w:val="28"/>
              </w:rPr>
            </w:pP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>в 2020 году – 347805,23 тыс. рублей;</w:t>
            </w:r>
          </w:p>
          <w:p w:rsidR="009C46B6" w:rsidRPr="00812BC2" w:rsidRDefault="009C46B6" w:rsidP="0022113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в 2021 году – 347805,23 тыс. рублей.</w:t>
            </w:r>
          </w:p>
        </w:tc>
      </w:tr>
      <w:tr w:rsidR="009C46B6" w:rsidRPr="00812BC2" w:rsidTr="009C46B6">
        <w:trPr>
          <w:trHeight w:val="350"/>
        </w:trPr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46B6" w:rsidRPr="00812BC2" w:rsidRDefault="009C46B6" w:rsidP="005F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647" w:type="dxa"/>
            <w:vMerge/>
            <w:tcBorders>
              <w:left w:val="nil"/>
              <w:right w:val="nil"/>
            </w:tcBorders>
            <w:shd w:val="clear" w:color="auto" w:fill="auto"/>
          </w:tcPr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</w:p>
        </w:tc>
      </w:tr>
      <w:tr w:rsidR="009C46B6" w:rsidRPr="00812BC2" w:rsidTr="009C46B6"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C46B6" w:rsidRPr="00812BC2" w:rsidRDefault="009C46B6" w:rsidP="005F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6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C46B6" w:rsidRPr="00812BC2" w:rsidRDefault="009C46B6" w:rsidP="009C46B6">
            <w:pPr>
              <w:pStyle w:val="ConsPlusNormal"/>
              <w:ind w:left="-2773" w:firstLine="2773"/>
              <w:jc w:val="both"/>
              <w:rPr>
                <w:sz w:val="28"/>
                <w:szCs w:val="28"/>
              </w:rPr>
            </w:pPr>
          </w:p>
        </w:tc>
      </w:tr>
    </w:tbl>
    <w:p w:rsidR="00221136" w:rsidRDefault="00221136" w:rsidP="00221136">
      <w:pPr>
        <w:pStyle w:val="ConsNonformat"/>
        <w:widowControl/>
        <w:ind w:right="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  <w:r w:rsidR="00C0273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обеспечения на реализацию мероприятий подпрограмм Программы приведены в приложении </w:t>
      </w:r>
      <w:r w:rsidR="00F54C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136" w:rsidRDefault="00221136" w:rsidP="00221136">
      <w:pPr>
        <w:pStyle w:val="ConsNonformat"/>
        <w:widowControl/>
        <w:ind w:right="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B72" w:rsidRDefault="009C46B6" w:rsidP="009C46B6">
      <w:pPr>
        <w:pStyle w:val="ConsNonformat"/>
        <w:widowControl/>
        <w:ind w:right="83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3. Описание мер правового регулирования в соответствующей сфере реализации Программы, направленных на достижение целей и (или) ожидаемых конечных результатов реализации Программы, с обоснованием основных положение нормативно – правовых актов Петровского </w:t>
      </w:r>
      <w:r w:rsidR="005A35AD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950B72" w:rsidRDefault="00950B72" w:rsidP="009C46B6">
      <w:pPr>
        <w:pStyle w:val="ConsNonformat"/>
        <w:widowControl/>
        <w:ind w:right="-426"/>
        <w:jc w:val="center"/>
        <w:rPr>
          <w:rFonts w:ascii="Times New Roman" w:hAnsi="Times New Roman" w:cs="Times New Roman"/>
          <w:sz w:val="28"/>
          <w:szCs w:val="28"/>
        </w:rPr>
      </w:pPr>
    </w:p>
    <w:p w:rsidR="002765CB" w:rsidRDefault="00B74A3E" w:rsidP="002765CB">
      <w:pPr>
        <w:pStyle w:val="ConsNonformat"/>
        <w:widowControl/>
        <w:ind w:right="-5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Программы будет обеспечено выполнение функций </w:t>
      </w:r>
      <w:r w:rsidR="004400F5">
        <w:rPr>
          <w:rFonts w:ascii="Times New Roman" w:hAnsi="Times New Roman" w:cs="Times New Roman"/>
          <w:sz w:val="28"/>
          <w:szCs w:val="28"/>
        </w:rPr>
        <w:t xml:space="preserve">и полномочий </w:t>
      </w:r>
      <w:r>
        <w:rPr>
          <w:rFonts w:ascii="Times New Roman" w:hAnsi="Times New Roman" w:cs="Times New Roman"/>
          <w:sz w:val="28"/>
          <w:szCs w:val="28"/>
        </w:rPr>
        <w:t>отдела образования в установленной форме деятельности.</w:t>
      </w:r>
      <w:r w:rsidR="00276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5CB" w:rsidRDefault="002765CB" w:rsidP="002765CB">
      <w:pPr>
        <w:pStyle w:val="ConsNonformat"/>
        <w:widowControl/>
        <w:ind w:right="-5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предусмотрено применение мер правового регулирования. Подготовка проектов постановлений администрации Петровского городского округа об утверждении административных регламентов по предоставлению образовательными организациями муниципальных услуг.   </w:t>
      </w:r>
    </w:p>
    <w:p w:rsidR="009C46B6" w:rsidRDefault="009C46B6" w:rsidP="00B74A3E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4A3E" w:rsidRDefault="00B74A3E" w:rsidP="00B74A3E">
      <w:pPr>
        <w:pStyle w:val="ConsNonformat"/>
        <w:widowControl/>
        <w:ind w:right="83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4. Сведения о формах государственного (федерального) статистического наблюдения, сведения о методиках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расчета значений индикаторов достижения целей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Программы (показатели решения задач подпрограммы Программы)</w:t>
      </w:r>
    </w:p>
    <w:p w:rsidR="00B74A3E" w:rsidRDefault="00B74A3E" w:rsidP="00B74A3E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4A3E" w:rsidRDefault="00B74A3E" w:rsidP="00B74A3E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формах государственного (федерального) статистического наблюдения, сведения о методиках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расчета значений индикаторов достижения целей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Программы (показатели решения задач подпрограммы Программы), утвержденных Правительством Российской Федерации, федеральными органами исполнительной власти, Правите</w:t>
      </w:r>
      <w:r w:rsidR="002B47D8">
        <w:rPr>
          <w:rFonts w:ascii="Times New Roman" w:hAnsi="Times New Roman" w:cs="Times New Roman"/>
          <w:sz w:val="28"/>
          <w:szCs w:val="28"/>
        </w:rPr>
        <w:t xml:space="preserve">льством Ставропольского края, </w:t>
      </w:r>
      <w:r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Петровского </w:t>
      </w:r>
      <w:r w:rsidR="005A35AD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края, ответственным испол</w:t>
      </w:r>
      <w:r w:rsidR="00D93DC5">
        <w:rPr>
          <w:rFonts w:ascii="Times New Roman" w:hAnsi="Times New Roman" w:cs="Times New Roman"/>
          <w:sz w:val="28"/>
          <w:szCs w:val="28"/>
        </w:rPr>
        <w:t>нителем приведены в Приложении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A3E" w:rsidRDefault="00B74A3E" w:rsidP="00B74A3E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12FC" w:rsidRDefault="009A12FC" w:rsidP="00B74A3E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4A3E" w:rsidRDefault="00B74A3E" w:rsidP="009A12FC">
      <w:pPr>
        <w:pStyle w:val="ConsNonformat"/>
        <w:widowControl/>
        <w:ind w:right="83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</w:t>
      </w:r>
      <w:r w:rsidR="009A12FC">
        <w:rPr>
          <w:rFonts w:ascii="Times New Roman" w:hAnsi="Times New Roman" w:cs="Times New Roman"/>
          <w:sz w:val="28"/>
          <w:szCs w:val="28"/>
        </w:rPr>
        <w:t>. Основные параметры потребности в трудовых ресурсах, необходимых для реализации Программы, включая потребность в инженерно – технических кадрах и прогноз количества их подготовки за счет средств районного бюджета</w:t>
      </w:r>
    </w:p>
    <w:p w:rsidR="00950B72" w:rsidRDefault="00950B72" w:rsidP="004F3050">
      <w:pPr>
        <w:pStyle w:val="ConsNonformat"/>
        <w:widowControl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A12FC" w:rsidRDefault="009A12FC" w:rsidP="009A12FC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параметры потребности в трудовых ресурсах, необходимых для реализации Программы, включая потребность в инженерно – технических кадрах и прогноз количества их подготовки за счет средств районного бюджета не предусмотрены. </w:t>
      </w:r>
    </w:p>
    <w:p w:rsidR="009A12FC" w:rsidRDefault="009A12FC" w:rsidP="009A12FC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будет осуществлена действующими штатными сотрудниками отдела образования и образовательных организаций.</w:t>
      </w:r>
    </w:p>
    <w:p w:rsidR="009A12FC" w:rsidRDefault="009A12FC" w:rsidP="004F3050">
      <w:pPr>
        <w:pStyle w:val="ConsNonformat"/>
        <w:widowControl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A12FC" w:rsidRDefault="009A12FC" w:rsidP="004F3050">
      <w:pPr>
        <w:pStyle w:val="ConsNonformat"/>
        <w:widowControl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A12FC" w:rsidRDefault="009A12FC" w:rsidP="009A12FC">
      <w:pPr>
        <w:pStyle w:val="ConsNonformat"/>
        <w:widowControl/>
        <w:ind w:right="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6. Сведения об объемах средств бюджета</w:t>
      </w:r>
      <w:r w:rsidR="005A35AD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планируемых для направления на развитие инновационной деятельности в Петровском </w:t>
      </w:r>
      <w:r w:rsidR="005A35AD">
        <w:rPr>
          <w:rFonts w:ascii="Times New Roman" w:hAnsi="Times New Roman" w:cs="Times New Roman"/>
          <w:sz w:val="28"/>
          <w:szCs w:val="28"/>
        </w:rPr>
        <w:t>городском округе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 в рамках реализации Программы</w:t>
      </w:r>
    </w:p>
    <w:p w:rsidR="009A12FC" w:rsidRDefault="009A12FC" w:rsidP="009A12FC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12FC" w:rsidRDefault="009A12FC" w:rsidP="009A12FC">
      <w:pPr>
        <w:pStyle w:val="ConsNonformat"/>
        <w:widowControl/>
        <w:ind w:right="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</w:t>
      </w:r>
      <w:r w:rsidR="002B47D8">
        <w:rPr>
          <w:rFonts w:ascii="Times New Roman" w:hAnsi="Times New Roman" w:cs="Times New Roman"/>
          <w:sz w:val="28"/>
          <w:szCs w:val="28"/>
        </w:rPr>
        <w:t>зации Программы не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CE2">
        <w:rPr>
          <w:rFonts w:ascii="Times New Roman" w:hAnsi="Times New Roman" w:cs="Times New Roman"/>
          <w:sz w:val="28"/>
          <w:szCs w:val="28"/>
        </w:rPr>
        <w:t>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инновационного характера. </w:t>
      </w:r>
    </w:p>
    <w:p w:rsidR="009A12FC" w:rsidRDefault="009A12FC" w:rsidP="004F3050">
      <w:pPr>
        <w:pStyle w:val="ConsNonformat"/>
        <w:widowControl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A12FC" w:rsidRDefault="009A12FC" w:rsidP="004F3050">
      <w:pPr>
        <w:pStyle w:val="ConsNonformat"/>
        <w:widowControl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A12FC" w:rsidRDefault="009A12FC" w:rsidP="004F3050">
      <w:pPr>
        <w:pStyle w:val="ConsNonformat"/>
        <w:widowControl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4F3050" w:rsidRDefault="004F3050" w:rsidP="004F305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4F3050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</w:t>
      </w:r>
    </w:p>
    <w:p w:rsidR="004F3050" w:rsidRDefault="004F3050" w:rsidP="004F305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4F30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F3050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4F30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8B5" w:rsidRDefault="00563C2E" w:rsidP="004F305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F3050" w:rsidRPr="004F3050">
        <w:rPr>
          <w:rFonts w:ascii="Times New Roman" w:hAnsi="Times New Roman" w:cs="Times New Roman"/>
          <w:sz w:val="28"/>
          <w:szCs w:val="28"/>
        </w:rPr>
        <w:t xml:space="preserve"> </w:t>
      </w:r>
      <w:r w:rsidR="004F30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3B6" w:rsidRDefault="00C338B5" w:rsidP="004F305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</w:t>
      </w:r>
      <w:r w:rsidR="004F30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63C2E">
        <w:rPr>
          <w:rFonts w:ascii="Times New Roman" w:hAnsi="Times New Roman" w:cs="Times New Roman"/>
          <w:sz w:val="28"/>
          <w:szCs w:val="28"/>
        </w:rPr>
        <w:t xml:space="preserve">  </w:t>
      </w:r>
      <w:r w:rsidR="004F30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63C2E">
        <w:rPr>
          <w:rFonts w:ascii="Times New Roman" w:hAnsi="Times New Roman" w:cs="Times New Roman"/>
          <w:sz w:val="28"/>
          <w:szCs w:val="28"/>
        </w:rPr>
        <w:t>Н.А.</w:t>
      </w:r>
      <w:r w:rsidR="006811DE">
        <w:rPr>
          <w:rFonts w:ascii="Times New Roman" w:hAnsi="Times New Roman" w:cs="Times New Roman"/>
          <w:sz w:val="28"/>
          <w:szCs w:val="28"/>
        </w:rPr>
        <w:t>Шевченко</w:t>
      </w:r>
    </w:p>
    <w:sectPr w:rsidR="002103B6" w:rsidSect="009C46B6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103B6"/>
    <w:rsid w:val="000525D6"/>
    <w:rsid w:val="00080A09"/>
    <w:rsid w:val="000929EC"/>
    <w:rsid w:val="00140FB1"/>
    <w:rsid w:val="00141AC6"/>
    <w:rsid w:val="002103B6"/>
    <w:rsid w:val="00221136"/>
    <w:rsid w:val="00271B68"/>
    <w:rsid w:val="002765CB"/>
    <w:rsid w:val="002B47D8"/>
    <w:rsid w:val="002C3914"/>
    <w:rsid w:val="002F2848"/>
    <w:rsid w:val="00305EFA"/>
    <w:rsid w:val="00322535"/>
    <w:rsid w:val="00340391"/>
    <w:rsid w:val="00344E00"/>
    <w:rsid w:val="00431EBC"/>
    <w:rsid w:val="004362E1"/>
    <w:rsid w:val="004400F5"/>
    <w:rsid w:val="00482F1B"/>
    <w:rsid w:val="00492954"/>
    <w:rsid w:val="004F3050"/>
    <w:rsid w:val="00520543"/>
    <w:rsid w:val="00563C2E"/>
    <w:rsid w:val="005A35AD"/>
    <w:rsid w:val="005F22C9"/>
    <w:rsid w:val="00604E81"/>
    <w:rsid w:val="006371FD"/>
    <w:rsid w:val="00670E26"/>
    <w:rsid w:val="0067533C"/>
    <w:rsid w:val="006811DE"/>
    <w:rsid w:val="006D67AB"/>
    <w:rsid w:val="0076646F"/>
    <w:rsid w:val="00820D96"/>
    <w:rsid w:val="0083267F"/>
    <w:rsid w:val="00867A49"/>
    <w:rsid w:val="008A1FC2"/>
    <w:rsid w:val="00950B72"/>
    <w:rsid w:val="0095596D"/>
    <w:rsid w:val="00996E44"/>
    <w:rsid w:val="009A12FC"/>
    <w:rsid w:val="009C46B6"/>
    <w:rsid w:val="00A06F3C"/>
    <w:rsid w:val="00AD0C18"/>
    <w:rsid w:val="00B47DF9"/>
    <w:rsid w:val="00B74A3E"/>
    <w:rsid w:val="00BA30FF"/>
    <w:rsid w:val="00C0273F"/>
    <w:rsid w:val="00C338B5"/>
    <w:rsid w:val="00C51BE8"/>
    <w:rsid w:val="00D93DC5"/>
    <w:rsid w:val="00E02179"/>
    <w:rsid w:val="00E447C4"/>
    <w:rsid w:val="00E62FE4"/>
    <w:rsid w:val="00EA21B2"/>
    <w:rsid w:val="00F5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103B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103B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2103B6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103B6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List Paragraph"/>
    <w:basedOn w:val="a"/>
    <w:uiPriority w:val="34"/>
    <w:qFormat/>
    <w:rsid w:val="002103B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Nonformat">
    <w:name w:val="ConsNonformat"/>
    <w:rsid w:val="004F30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950B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6</cp:revision>
  <cp:lastPrinted>2017-12-13T05:37:00Z</cp:lastPrinted>
  <dcterms:created xsi:type="dcterms:W3CDTF">2017-12-12T06:54:00Z</dcterms:created>
  <dcterms:modified xsi:type="dcterms:W3CDTF">2017-12-29T05:39:00Z</dcterms:modified>
</cp:coreProperties>
</file>