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0"/>
        <w:jc w:val="center"/>
        <w:tabs>
          <w:tab w:val="clear" w:pos="0" w:leader="none"/>
          <w:tab w:val="left" w:pos="7602" w:leader="none"/>
        </w:tabs>
      </w:pPr>
      <w:r>
        <w:rPr>
          <w:b/>
          <w:sz w:val="32"/>
        </w:rPr>
        <w:t xml:space="preserve">                                </w:t>
      </w:r>
      <w:r>
        <w:rPr>
          <w:b/>
          <w:sz w:val="32"/>
        </w:rPr>
        <w:t xml:space="preserve">П О С Т А Н О В Л Е Н И Е</w:t>
      </w:r>
      <w:r>
        <w:rPr>
          <w:b/>
          <w:sz w:val="32"/>
        </w:rPr>
        <w:t xml:space="preserve"> </w:t>
      </w:r>
      <w:r>
        <w:tab/>
        <w:t xml:space="preserve">ПРОЕКТ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</w:pPr>
      <w:r>
        <w:t xml:space="preserve">АДМИНИСТРАЦИИ П</w:t>
      </w:r>
      <w:r>
        <w:t xml:space="preserve">ЕТРОВСКОГО </w:t>
      </w:r>
      <w:r>
        <w:t xml:space="preserve">МУНИЦИПАЛЬНОГО</w:t>
      </w:r>
      <w:r>
        <w:t xml:space="preserve"> ОКРУГА</w:t>
      </w:r>
      <w:r/>
    </w:p>
    <w:p>
      <w:pPr>
        <w:jc w:val="center"/>
      </w:pPr>
      <w:r>
        <w:t xml:space="preserve">СТАВРОПОЛЬСКОГО КРАЯ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3"/>
        <w:gridCol w:w="3171"/>
        <w:gridCol w:w="3122"/>
      </w:tblGrid>
      <w:tr>
        <w:tblPrEx/>
        <w:trPr/>
        <w:tc>
          <w:tcPr>
            <w:shd w:val="clear" w:color="auto" w:fill="auto"/>
            <w:tcW w:w="3063" w:type="dxa"/>
            <w:textDirection w:val="lrTb"/>
            <w:noWrap w:val="false"/>
          </w:tcPr>
          <w:p>
            <w:pPr>
              <w:pStyle w:val="653"/>
              <w:jc w:val="both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</w:r>
            <w:r>
              <w:rPr>
                <w:b w:val="0"/>
                <w:color w:val="000000" w:themeColor="text1"/>
                <w:sz w:val="24"/>
              </w:rPr>
            </w:r>
          </w:p>
        </w:tc>
        <w:tc>
          <w:tcPr>
            <w:shd w:val="clear" w:color="auto" w:fill="auto"/>
            <w:tcW w:w="3171" w:type="dxa"/>
            <w:textDirection w:val="lrTb"/>
            <w:noWrap w:val="false"/>
          </w:tcPr>
          <w:p>
            <w:pPr>
              <w:jc w:val="center"/>
            </w:pPr>
            <w:r>
              <w:t xml:space="preserve">г. Светлоград</w:t>
            </w:r>
            <w:r/>
          </w:p>
        </w:tc>
        <w:tc>
          <w:tcPr>
            <w:shd w:val="clear" w:color="auto" w:fill="auto"/>
            <w:tcW w:w="3122" w:type="dxa"/>
            <w:textDirection w:val="lrTb"/>
            <w:noWrap w:val="false"/>
          </w:tcPr>
          <w:p>
            <w:pPr>
              <w:pStyle w:val="653"/>
              <w:jc w:val="right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</w:r>
            <w:r>
              <w:rPr>
                <w:b w:val="0"/>
                <w:color w:val="000000" w:themeColor="text1"/>
                <w:sz w:val="24"/>
              </w:rPr>
            </w:r>
          </w:p>
        </w:tc>
      </w:tr>
    </w:tbl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б утверждении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</w:t>
      </w:r>
      <w:r>
        <w:rPr>
          <w:sz w:val="28"/>
          <w:szCs w:val="28"/>
        </w:rPr>
        <w:t xml:space="preserve"> об </w:t>
      </w:r>
      <w:r>
        <w:rPr>
          <w:color w:val="000000"/>
          <w:sz w:val="28"/>
          <w:szCs w:val="28"/>
        </w:rPr>
        <w:t xml:space="preserve">антинаркотической</w:t>
      </w:r>
      <w:r>
        <w:rPr>
          <w:color w:val="000000"/>
          <w:sz w:val="28"/>
          <w:szCs w:val="28"/>
        </w:rPr>
        <w:t xml:space="preserve"> комиссии Петровского муниципального</w:t>
      </w:r>
      <w:r>
        <w:rPr>
          <w:color w:val="000000"/>
          <w:sz w:val="28"/>
          <w:szCs w:val="28"/>
        </w:rPr>
        <w:t xml:space="preserve"> округа Ставропольского края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В соответствии с Указом Президента Российской Федерации от 18 октября 2007 г. № 1374 «О дополнительных мерах по противодействию незаконному обороту наркотических средств, психотропных веществ и их </w:t>
      </w:r>
      <w:r>
        <w:rPr>
          <w:sz w:val="28"/>
          <w:szCs w:val="28"/>
          <w:shd w:val="clear" w:color="auto" w:fill="ffffff"/>
          <w:lang w:eastAsia="ru-RU"/>
        </w:rPr>
        <w:t xml:space="preserve">прекурсоров</w:t>
      </w:r>
      <w:r>
        <w:rPr>
          <w:sz w:val="28"/>
          <w:szCs w:val="28"/>
          <w:shd w:val="clear" w:color="auto" w:fill="ffffff"/>
          <w:lang w:eastAsia="ru-RU"/>
        </w:rPr>
        <w:t xml:space="preserve">» и в целях совершенствования деятельности в сфере противодействия незаконному обороту наркотических средств, психот</w:t>
      </w:r>
      <w:r>
        <w:rPr>
          <w:sz w:val="28"/>
          <w:szCs w:val="28"/>
          <w:shd w:val="clear" w:color="auto" w:fill="ffffff"/>
          <w:lang w:eastAsia="ru-RU"/>
        </w:rPr>
        <w:t xml:space="preserve">ропных веществ и их </w:t>
      </w:r>
      <w:r>
        <w:rPr>
          <w:sz w:val="28"/>
          <w:szCs w:val="28"/>
          <w:shd w:val="clear" w:color="auto" w:fill="ffffff"/>
          <w:lang w:eastAsia="ru-RU"/>
        </w:rPr>
        <w:t xml:space="preserve">прекурсоров</w:t>
      </w:r>
      <w:r>
        <w:rPr>
          <w:sz w:val="28"/>
          <w:szCs w:val="28"/>
          <w:shd w:val="clear" w:color="auto" w:fill="ffffff"/>
          <w:lang w:eastAsia="ru-RU"/>
        </w:rPr>
        <w:t xml:space="preserve"> адми</w:t>
      </w:r>
      <w:r>
        <w:rPr>
          <w:sz w:val="28"/>
          <w:szCs w:val="28"/>
          <w:shd w:val="clear" w:color="auto" w:fill="ffffff"/>
          <w:lang w:eastAsia="ru-RU"/>
        </w:rPr>
        <w:t xml:space="preserve">нистрация Петровского муниципального</w:t>
      </w:r>
      <w:r>
        <w:rPr>
          <w:sz w:val="28"/>
          <w:szCs w:val="28"/>
          <w:shd w:val="clear" w:color="auto" w:fill="ffffff"/>
          <w:lang w:eastAsia="ru-RU"/>
        </w:rPr>
        <w:t xml:space="preserve"> округа Ставропольского края</w:t>
      </w:r>
      <w:r>
        <w:rPr>
          <w:sz w:val="28"/>
          <w:szCs w:val="28"/>
          <w:shd w:val="clear" w:color="auto" w:fill="ffffff"/>
          <w:lang w:eastAsia="ru-RU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прилагаемое Положение об антинаркотической комиссии Петр</w:t>
      </w:r>
      <w:r>
        <w:rPr>
          <w:sz w:val="28"/>
          <w:szCs w:val="28"/>
        </w:rPr>
        <w:t xml:space="preserve">овского муниципального</w:t>
      </w:r>
      <w:r>
        <w:rPr>
          <w:sz w:val="28"/>
          <w:szCs w:val="28"/>
        </w:rPr>
        <w:t xml:space="preserve"> округа Ставропольского края.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Петровского </w:t>
      </w:r>
      <w:r>
        <w:rPr>
          <w:color w:val="000000"/>
          <w:sz w:val="28"/>
          <w:szCs w:val="28"/>
        </w:rPr>
        <w:t xml:space="preserve">городского округа Ставропольского края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11 января 2019 г. № 11 «Об образовании антинаркотической комиссии Петровского </w:t>
      </w:r>
      <w:r>
        <w:rPr>
          <w:color w:val="000000"/>
          <w:sz w:val="28"/>
          <w:szCs w:val="28"/>
        </w:rPr>
        <w:t xml:space="preserve">городского</w:t>
      </w:r>
      <w:r>
        <w:rPr>
          <w:color w:val="000000"/>
          <w:sz w:val="28"/>
          <w:szCs w:val="28"/>
        </w:rPr>
        <w:t xml:space="preserve"> округа Ставропольского края»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</w:p>
    <w:p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27 марта 2019 г. № 744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 внесении изменений в состав антинаркотической комиссии Петровского городского округа Ставропольского края,</w:t>
      </w:r>
      <w:r>
        <w:rPr>
          <w:sz w:val="28"/>
          <w:szCs w:val="28"/>
        </w:rPr>
        <w:t xml:space="preserve"> утверждённой постановлением </w:t>
      </w:r>
      <w:r>
        <w:rPr>
          <w:color w:val="000000"/>
          <w:sz w:val="28"/>
          <w:szCs w:val="28"/>
        </w:rPr>
        <w:t xml:space="preserve">администрации Петровского городского округа Ставропольского края от 11 января 2019 г.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№ 11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</w:p>
    <w:p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19 мая 2021 г. № 770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 внесении изменений в состав антинаркотической комиссии Петровского городского округа Ставропольского края,</w:t>
      </w:r>
      <w:r>
        <w:rPr>
          <w:sz w:val="28"/>
          <w:szCs w:val="28"/>
        </w:rPr>
        <w:t xml:space="preserve"> утверждённой постановлением </w:t>
      </w:r>
      <w:r>
        <w:rPr>
          <w:color w:val="000000"/>
          <w:sz w:val="28"/>
          <w:szCs w:val="28"/>
        </w:rPr>
        <w:t xml:space="preserve">администрации Петровского городского округа Ставропольского края от 11 января 2019 г.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№ 11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(в редакции от 27 марта 2019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г. № 744);</w:t>
      </w:r>
      <w:r>
        <w:rPr>
          <w:color w:val="000000"/>
          <w:sz w:val="28"/>
          <w:szCs w:val="28"/>
        </w:rPr>
      </w:r>
    </w:p>
    <w:p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24 декабря 2021 г. № 2065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 внесении изменений в</w:t>
      </w:r>
      <w:r>
        <w:rPr>
          <w:color w:val="000000"/>
          <w:sz w:val="28"/>
          <w:szCs w:val="28"/>
        </w:rPr>
        <w:t xml:space="preserve"> постановление администрации Петровского городского округа Ставропольского края </w:t>
      </w: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от 11 января 2019 г.</w:t>
      </w:r>
      <w:r>
        <w:rPr>
          <w:color w:val="000000"/>
          <w:sz w:val="28"/>
          <w:szCs w:val="28"/>
        </w:rPr>
        <w:t xml:space="preserve"> № 11 </w:t>
      </w:r>
      <w:r>
        <w:rPr>
          <w:color w:val="000000"/>
          <w:sz w:val="28"/>
          <w:szCs w:val="28"/>
        </w:rPr>
        <w:t xml:space="preserve">«Об образовании антинаркотической комиссии Петровского городского округа Ставропольского края»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</w:p>
    <w:p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03 марта 2022 г. № 288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 внесении изменений в состав антинаркотической комиссии Петровского городского округа Ставропольского края,</w:t>
      </w:r>
      <w:r>
        <w:rPr>
          <w:sz w:val="28"/>
          <w:szCs w:val="28"/>
        </w:rPr>
        <w:t xml:space="preserve"> утверждённой постановлением </w:t>
      </w:r>
      <w:r>
        <w:rPr>
          <w:color w:val="000000"/>
          <w:sz w:val="28"/>
          <w:szCs w:val="28"/>
        </w:rPr>
        <w:t xml:space="preserve">администрации Петровского городского округа Ставропольского края от 11 января 2019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№ 11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</w:p>
    <w:p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22 июня 2022 г. № 940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 внесении изменений в состав антинаркотической комиссии Петровского городского округа Ставропольского края,</w:t>
      </w:r>
      <w:r>
        <w:rPr>
          <w:sz w:val="28"/>
          <w:szCs w:val="28"/>
        </w:rPr>
        <w:t xml:space="preserve"> утверждённой постановлением </w:t>
      </w:r>
      <w:r>
        <w:rPr>
          <w:color w:val="000000"/>
          <w:sz w:val="28"/>
          <w:szCs w:val="28"/>
        </w:rPr>
        <w:t xml:space="preserve">администрации Петровского городского округа Ставропольского края от 11 января 2019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№ 11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</w:p>
    <w:p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20 февраля 2023 г. № 221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 внесении изменений в состав антинаркотической комиссии Петровского городского округа Ставропольского края,</w:t>
      </w:r>
      <w:r>
        <w:rPr>
          <w:sz w:val="28"/>
          <w:szCs w:val="28"/>
        </w:rPr>
        <w:t xml:space="preserve"> утверждённой постановлением </w:t>
      </w:r>
      <w:r>
        <w:rPr>
          <w:color w:val="000000"/>
          <w:sz w:val="28"/>
          <w:szCs w:val="28"/>
        </w:rPr>
        <w:t xml:space="preserve">администрации Петровского городского округа Ставропольского края от 11 января 2019 г.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11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</w:p>
    <w:p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10 июля 2023 г. № 1064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Положение об </w:t>
      </w:r>
      <w:r>
        <w:rPr>
          <w:color w:val="000000"/>
          <w:sz w:val="28"/>
          <w:szCs w:val="28"/>
        </w:rPr>
        <w:t xml:space="preserve">антинаркотической комиссии Петровского городского округа Ставропольского края,</w:t>
      </w:r>
      <w:r>
        <w:rPr>
          <w:sz w:val="28"/>
          <w:szCs w:val="28"/>
        </w:rPr>
        <w:t xml:space="preserve"> утверждённое постановлением </w:t>
      </w:r>
      <w:r>
        <w:rPr>
          <w:color w:val="000000"/>
          <w:sz w:val="28"/>
          <w:szCs w:val="28"/>
        </w:rPr>
        <w:t xml:space="preserve">администрации Петровского городского округа Ставропольского края от 11 января 2019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№ 11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Контроль за выполнением настоящего постановления возложить на первого заместителя главы администрации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Бабыкина А.И.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</w:t>
      </w:r>
      <w:r>
        <w:rPr>
          <w:sz w:val="28"/>
          <w:szCs w:val="28"/>
        </w:rPr>
        <w:t xml:space="preserve">. Настоящее 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вступает в силу со дня </w:t>
      </w:r>
      <w:r>
        <w:rPr>
          <w:sz w:val="28"/>
          <w:szCs w:val="28"/>
        </w:rPr>
        <w:t xml:space="preserve">опубликования в газете «Вестник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1"/>
        <w:ind w:right="-2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Петровского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1"/>
        <w:ind w:right="-2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1"/>
        <w:ind w:right="-2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Н.В.</w:t>
      </w:r>
      <w:r>
        <w:rPr>
          <w:rFonts w:ascii="Times New Roman" w:hAnsi="Times New Roman" w:cs="Times New Roman"/>
          <w:sz w:val="28"/>
          <w:szCs w:val="28"/>
        </w:rPr>
        <w:t xml:space="preserve">Конкина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5"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5"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5"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5"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5"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5"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5"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5"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5"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5"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5"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5"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5"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274"/>
        <w:jc w:val="both"/>
        <w:spacing w:line="240" w:lineRule="exact"/>
        <w:tabs>
          <w:tab w:val="left" w:pos="-1418" w:leader="none"/>
          <w:tab w:val="left" w:pos="-1134" w:leader="none"/>
          <w:tab w:val="left" w:pos="9214" w:leader="none"/>
          <w:tab w:val="left" w:pos="935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-1418" w:right="1274"/>
        <w:jc w:val="both"/>
        <w:spacing w:line="240" w:lineRule="exact"/>
        <w:tabs>
          <w:tab w:val="left" w:pos="-1418" w:leader="none"/>
          <w:tab w:val="left" w:pos="-1134" w:leader="none"/>
          <w:tab w:val="left" w:pos="9214" w:leader="none"/>
          <w:tab w:val="left" w:pos="9354" w:leader="none"/>
        </w:tabs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</w:r>
      <w:r>
        <w:rPr>
          <w:color w:val="ffffff" w:themeColor="background1"/>
          <w:sz w:val="28"/>
          <w:szCs w:val="28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394"/>
      </w:tblGrid>
      <w:tr>
        <w:tblPrEx/>
        <w:trPr/>
        <w:tc>
          <w:tcPr>
            <w:tcW w:w="5070" w:type="dxa"/>
            <w:textDirection w:val="lrTb"/>
            <w:noWrap w:val="false"/>
          </w:tcPr>
          <w:p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br w:type="page" w:clear="all"/>
            </w:r>
            <w:r>
              <w:rPr>
                <w:szCs w:val="28"/>
              </w:rPr>
              <w:br w:type="page" w:clear="all"/>
            </w:r>
            <w:r>
              <w:rPr>
                <w:szCs w:val="28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070" w:type="dxa"/>
            <w:textDirection w:val="lrTb"/>
            <w:noWrap w:val="false"/>
          </w:tcPr>
          <w:p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spacing w:before="5" w:line="240" w:lineRule="exact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Ставропольского края</w:t>
            </w:r>
            <w:r>
              <w:rPr>
                <w:sz w:val="28"/>
                <w:szCs w:val="28"/>
              </w:rPr>
            </w:r>
          </w:p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right="1274"/>
        <w:jc w:val="both"/>
        <w:spacing w:line="240" w:lineRule="exact"/>
        <w:tabs>
          <w:tab w:val="left" w:pos="-1418" w:leader="none"/>
          <w:tab w:val="left" w:pos="-1134" w:leader="none"/>
          <w:tab w:val="left" w:pos="9214" w:leader="none"/>
          <w:tab w:val="left" w:pos="935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274"/>
        <w:jc w:val="both"/>
        <w:spacing w:line="240" w:lineRule="exact"/>
        <w:tabs>
          <w:tab w:val="left" w:pos="-1418" w:leader="none"/>
          <w:tab w:val="left" w:pos="-1134" w:leader="none"/>
          <w:tab w:val="left" w:pos="9214" w:leader="none"/>
          <w:tab w:val="left" w:pos="935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ПОЛОЖЕНИЕ</w:t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об антинаркотической комиссии в Петровском </w:t>
      </w:r>
      <w:r>
        <w:rPr>
          <w:bCs/>
          <w:sz w:val="28"/>
          <w:szCs w:val="28"/>
        </w:rPr>
        <w:t xml:space="preserve">муниципальном</w:t>
      </w:r>
      <w:r>
        <w:rPr>
          <w:bCs/>
          <w:sz w:val="28"/>
          <w:szCs w:val="28"/>
        </w:rPr>
        <w:t xml:space="preserve"> округе Ставропольского края</w:t>
      </w:r>
      <w:r>
        <w:rPr>
          <w:bCs/>
          <w:sz w:val="28"/>
          <w:szCs w:val="28"/>
          <w:lang w:eastAsia="ru-RU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66"/>
        <w:ind w:lef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Общие положения</w:t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>
        <w:rPr>
          <w:sz w:val="28"/>
          <w:szCs w:val="28"/>
        </w:rPr>
        <w:t xml:space="preserve">Антинаркотическая комиссия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(далее – комиссия) является органом, обеспечивающим координацию деятельности</w:t>
      </w:r>
      <w:r>
        <w:rPr>
          <w:sz w:val="28"/>
          <w:szCs w:val="28"/>
        </w:rPr>
        <w:t xml:space="preserve"> отделов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края, территориальных органов федеральных органов исполнительной власти, </w:t>
      </w:r>
      <w:r>
        <w:rPr>
          <w:sz w:val="28"/>
          <w:szCs w:val="28"/>
        </w:rPr>
        <w:t xml:space="preserve">органов государственной власти Ставропольского края, </w:t>
      </w:r>
      <w:r>
        <w:rPr>
          <w:sz w:val="28"/>
          <w:szCs w:val="28"/>
        </w:rPr>
        <w:t xml:space="preserve">государственных и муниципальных учреждений, расположенных на территории </w:t>
      </w:r>
      <w:r>
        <w:rPr>
          <w:sz w:val="28"/>
          <w:szCs w:val="28"/>
        </w:rPr>
        <w:t xml:space="preserve">Петровского</w:t>
      </w:r>
      <w:r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Ставропольского края (далее – округ)</w:t>
      </w:r>
      <w:r>
        <w:rPr>
          <w:sz w:val="28"/>
          <w:szCs w:val="28"/>
        </w:rPr>
        <w:t xml:space="preserve">, по противодействию незаконному обороту наркотических средств, психотропных веществ и их прекурсоров.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законами, у</w:t>
      </w:r>
      <w:r>
        <w:rPr>
          <w:sz w:val="28"/>
          <w:szCs w:val="28"/>
        </w:rPr>
        <w:t xml:space="preserve">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           актами Ставропольского края</w:t>
      </w:r>
      <w:r>
        <w:rPr>
          <w:sz w:val="28"/>
          <w:szCs w:val="28"/>
        </w:rPr>
        <w:t xml:space="preserve">, нормативными правовыми актами</w:t>
      </w:r>
      <w:r>
        <w:rPr>
          <w:sz w:val="28"/>
          <w:szCs w:val="28"/>
        </w:rPr>
        <w:t xml:space="preserve">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края, решениями Государственного антинаркотического комитета, антинаркотической комиссии в Ставропольском крае, а также настоящим Положением.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Комиссия осуществляет свою деятельность во взаимодействии с антинаркотической комиссией в Ставропольском крае,</w:t>
      </w:r>
      <w:r>
        <w:rPr>
          <w:sz w:val="28"/>
          <w:szCs w:val="28"/>
        </w:rPr>
        <w:t xml:space="preserve"> отделами и </w:t>
      </w:r>
      <w:r>
        <w:rPr>
          <w:sz w:val="28"/>
          <w:szCs w:val="28"/>
        </w:rPr>
        <w:t xml:space="preserve">органами </w:t>
      </w: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края, территориальными органами федеральных органов исполнительной власти, </w:t>
      </w:r>
      <w:r>
        <w:rPr>
          <w:sz w:val="28"/>
          <w:szCs w:val="28"/>
        </w:rPr>
        <w:t xml:space="preserve">органами</w:t>
      </w:r>
      <w:r>
        <w:rPr>
          <w:sz w:val="28"/>
          <w:szCs w:val="28"/>
        </w:rPr>
        <w:t xml:space="preserve"> государственной власти Ставропольского края, </w:t>
      </w:r>
      <w:r>
        <w:rPr>
          <w:sz w:val="28"/>
          <w:szCs w:val="28"/>
        </w:rPr>
        <w:t xml:space="preserve">государственными и муниципальными учреждениями, расположенными на территории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, общественными объединениями и организациями.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Задачи комиссии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Задачами комиссии являются: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участие в формировании и реализации на территории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государственной политики в области противодействия незаконному обороту наркотических средств, психотропных веществ и их прекурсоров;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координация деятельности отделов и </w:t>
      </w:r>
      <w:r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края, территориальных органов федеральных органов исполнительной власти,</w:t>
      </w:r>
      <w:r>
        <w:rPr>
          <w:sz w:val="28"/>
          <w:szCs w:val="28"/>
        </w:rPr>
        <w:t xml:space="preserve"> органов государственной власти Ставропольского края,</w:t>
      </w:r>
      <w:r>
        <w:rPr>
          <w:sz w:val="28"/>
          <w:szCs w:val="28"/>
        </w:rPr>
        <w:t xml:space="preserve"> государственных и муниципальных учреждений, расположенных на территории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, по противодействию незаконному обороту наркотических средств, психотропных веществ и их прекурсоров, а также организация их взаимодействия с общественными объединениями и организациями;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разработка мер, направленных на противодействие незаконному обороту наркотических средств, психотропных веществ и их прекурсоров, а также повышение эффективности реализации муниципальной антинаркотической программы (подпрограммы)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анализ эффективности деятельности органов местного самоуправления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по противодействию незаконному обороту наркотических средств, психотропных веществ и их прекурсоров;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сотрудничество и обмен опытом с органами местного самоуправления других муниципальных (городских) округов Ставропольского края в области противодействия незаконному обороту наркотических средств, психотропных веществ и их прекурсоров.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решение иных задач, предусмотренных законодательством Российской Федерации о наркотических средствах, психотропных веществах и их прекурсорах в пределах компетенции комиссии.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Права комиссии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Для осуществления своих задач комиссия имеет право: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принимать в пределах своей компетенции решения, касающиеся организации, координации, совершенствования и оценки эффективности деятельности органов местного самоуправления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по противодействию незаконному обороту наркотических средств, психотропных веществ и их прекурсоров, а также осуществлять контроль за исполнением этих решений;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создавать рабочие группы для изучения вопросов, касающихся противодействия незаконному обороту наркотических средств, психотропных веществ и их прекурсоров, а также для подготовки проектов соответствующих решений комиссии;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запрашивать и получать в установленном законодательством Российской Федерации порядке необходимые материалы и информацию от территориальных органов федеральных органов исполнительной власти, </w:t>
      </w:r>
      <w:r>
        <w:rPr>
          <w:sz w:val="28"/>
          <w:szCs w:val="28"/>
        </w:rPr>
        <w:t xml:space="preserve">органов государственной власти Ставропольского края,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тделов и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края, государственных и муниципальных учреждений, расположенных на территории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, общественных объединений, организаций и должностных лиц;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привлекать для участия в работе комиссии должностных лиц и специалистов территориальных органов федеральных органов исполнительной власти, органов государственной власти Ставропольского края, отделов и </w:t>
      </w:r>
      <w:r>
        <w:rPr>
          <w:sz w:val="28"/>
          <w:szCs w:val="28"/>
        </w:rPr>
        <w:t xml:space="preserve">органов а</w:t>
      </w:r>
      <w:r>
        <w:rPr>
          <w:sz w:val="28"/>
          <w:szCs w:val="28"/>
        </w:rPr>
        <w:t xml:space="preserve">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края, государственных и муниципальных учреждений, расположенных на территории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, а также представителей общественных объединений и организаций (с их согласия).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Состав комиссии, права и обязанности членов комиссии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 состав комиссии входят пр</w:t>
      </w:r>
      <w:r>
        <w:rPr>
          <w:sz w:val="28"/>
          <w:szCs w:val="28"/>
        </w:rPr>
        <w:t xml:space="preserve">едседатель комиссии, заместители</w:t>
      </w:r>
      <w:r>
        <w:rPr>
          <w:sz w:val="28"/>
          <w:szCs w:val="28"/>
        </w:rPr>
        <w:t xml:space="preserve"> председателя комиссии, секретарь комиссии и члены комиссии.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Председателем комиссии является глава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Состав комиссии утверждается </w:t>
      </w:r>
      <w:r>
        <w:rPr>
          <w:sz w:val="28"/>
          <w:szCs w:val="28"/>
        </w:rPr>
        <w:t xml:space="preserve">правовым актом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Присутствие на заседании комиссии председателя комиссии и других членов комиссии обязательно.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комиссии считается правомочным, если на нем присутствует более половины ее членов.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рассматриваемых вопросов к участию в заседаниях комиссии могут привлекаться иные лица.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Председатель комиссии: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осуществляет непосредственное руководство деятельностью комиссии;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несет персональную ответственность за выполнение возложенных              на комиссию задач;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дает поручения членам комиссии по вопросам, входящим в компетенцию комиссии;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ведет заседания комиссии;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подписывает протоколы заседаний комиссии;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принимает решения, связанные с деятельностью комиссии. </w:t>
      </w:r>
      <w:r>
        <w:rPr>
          <w:sz w:val="28"/>
          <w:szCs w:val="28"/>
        </w:rPr>
      </w:r>
    </w:p>
    <w:p>
      <w:pPr>
        <w:pStyle w:val="670"/>
        <w:ind w:firstLine="709"/>
        <w:jc w:val="both"/>
        <w:spacing w:before="0" w:beforeAutospacing="0" w:after="0" w:afterAutospacing="0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4.6. Секретарь комиссии: </w:t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670"/>
        <w:ind w:firstLine="709"/>
        <w:jc w:val="both"/>
        <w:spacing w:before="0" w:beforeAutospacing="0" w:after="0" w:afterAutospacing="0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запрашивает у членов комиссии предложения в проекты плана            работы комиссии. С учетом поступивших предложений формирует проекты планов работы комиссии, готовит отчеты о результатах деятельности комиссии; </w:t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670"/>
        <w:ind w:firstLine="709"/>
        <w:jc w:val="both"/>
        <w:spacing w:before="0" w:beforeAutospacing="0" w:after="0" w:afterAutospacing="0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обеспечивает подготовку и проведение заседаний комиссии, формирует проекты повесток заседаний комиссии, решений комиссии, в том </w:t>
      </w:r>
      <w:r>
        <w:rPr>
          <w:rFonts w:eastAsiaTheme="minorHAnsi"/>
          <w:sz w:val="28"/>
          <w:szCs w:val="28"/>
          <w:lang w:eastAsia="en-US"/>
        </w:rPr>
        <w:t xml:space="preserve">числе запрашивает предложения в проекты решений комиссии у членов комиссии, информирует членов комиссии и приглашенных о месте, времени проведения и повестке дня очередного заседания комиссии, рассылает необходимые материалы членам комиссии; </w:t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670"/>
        <w:ind w:firstLine="709"/>
        <w:jc w:val="both"/>
        <w:spacing w:before="0" w:beforeAutospacing="0" w:after="0" w:afterAutospacing="0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ведет протокол заседания комиссии, оформляет его для подписания председателем комиссии, обеспечивает направление протокола членам комиссии; </w:t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670"/>
        <w:ind w:firstLine="709"/>
        <w:jc w:val="both"/>
        <w:spacing w:before="0" w:beforeAutospacing="0" w:after="0" w:afterAutospacing="0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г) обеспечивает контроль исполнения поручений, содержащихся в решениях комиссии; </w:t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670"/>
        <w:ind w:firstLine="709"/>
        <w:jc w:val="both"/>
        <w:spacing w:before="0" w:beforeAutospacing="0" w:after="0" w:afterAutospacing="0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д) обеспечивает взаимодействие комиссии с антинаркотической комиссией в Ставропольском крае и ее аппаратом, </w:t>
      </w:r>
      <w:r>
        <w:rPr>
          <w:sz w:val="28"/>
          <w:szCs w:val="28"/>
        </w:rPr>
        <w:t xml:space="preserve">территориальными органами федеральных органов исполнительной власти,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органами</w:t>
      </w:r>
      <w:r>
        <w:rPr>
          <w:sz w:val="28"/>
          <w:szCs w:val="28"/>
        </w:rPr>
        <w:t xml:space="preserve"> государственной власти Ставропольского края,</w:t>
      </w:r>
      <w:r>
        <w:rPr>
          <w:sz w:val="28"/>
          <w:szCs w:val="28"/>
        </w:rPr>
        <w:t xml:space="preserve"> отделами и </w:t>
      </w:r>
      <w:r>
        <w:rPr>
          <w:sz w:val="28"/>
          <w:szCs w:val="28"/>
        </w:rPr>
        <w:t xml:space="preserve">органами</w:t>
      </w:r>
      <w:r>
        <w:rPr>
          <w:sz w:val="28"/>
          <w:szCs w:val="28"/>
        </w:rPr>
        <w:t xml:space="preserve">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края, государственными и муниципальными учреждениями, расположенными на территории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, общественными объединениями и организациями, а также средствами массовой информации;</w:t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670"/>
        <w:ind w:firstLine="709"/>
        <w:jc w:val="both"/>
        <w:spacing w:before="0" w:beforeAutospacing="0" w:after="0" w:afterAutospacing="0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е) обеспечивает контроль за исполнением решений антинаркотической комиссии в Ставропольском крае в части компетенции комиссии;</w:t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670"/>
        <w:ind w:firstLine="709"/>
        <w:jc w:val="both"/>
        <w:spacing w:before="0" w:beforeAutospacing="0" w:after="0" w:afterAutospacing="0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ж) ведет делопроизводство комиссии;</w:t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670"/>
        <w:ind w:firstLine="709"/>
        <w:jc w:val="both"/>
        <w:spacing w:before="0" w:beforeAutospacing="0" w:after="0" w:afterAutospacing="0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з) осуществляет иные функции по обеспечению деятельности комиссии.</w:t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Члены комиссии вправе: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знакомиться с документами и материалами комиссии, непосредственно касающимися деятельности комиссии;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голосовать на заседаниях комиссии;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привлекать по согласованию с председателем комиссии сотрудников и специалистов других организаций к аналитической и иной работе, связанной с деятельностью комиссии;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вносить предложения в проект решения комиссии.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Члены комиссии обладают равными правами при обсуждении рассматриваемых на заседании вопросов.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Члены комиссии не вправе делегировать свои полномочия иным лицам.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Члены комиссии обязаны: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участвовать в подгот</w:t>
      </w:r>
      <w:r>
        <w:rPr>
          <w:sz w:val="28"/>
          <w:szCs w:val="28"/>
        </w:rPr>
        <w:t xml:space="preserve">овке вопросов, выносимых на рассмотрение                       комиссии в соответствии с планом заседаний комиссии, повесткой заседания комиссии, решениями комиссии, председателя комиссии или по предложениям членов комиссии, утвержденным решением комиссии;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присутствовать на заседаниях комиссии. В случае невозможности присутствия члена комиссии на заседании он обязан не позднее чем за 2 дня                            до даты проведения заседания известить об этом председателя комиссии;</w:t>
      </w:r>
      <w:r>
        <w:rPr>
          <w:sz w:val="28"/>
          <w:szCs w:val="28"/>
        </w:rPr>
      </w:r>
    </w:p>
    <w:p>
      <w:pPr>
        <w:pStyle w:val="670"/>
        <w:ind w:firstLine="709"/>
        <w:jc w:val="both"/>
        <w:spacing w:before="0" w:beforeAutospacing="0" w:after="0" w:afterAutospacing="0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организовывать в рамках своих полномочий выполнение решений комиссии.</w:t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670"/>
        <w:ind w:firstLine="709"/>
        <w:jc w:val="both"/>
        <w:spacing w:before="0" w:beforeAutospacing="0" w:after="0" w:afterAutospacing="0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4.11. Члены комиссии несут персональную ответственность за исполнение соответствующих поручений, содержащихся в решениях комиссии.</w:t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670"/>
        <w:ind w:firstLine="709"/>
        <w:jc w:val="center"/>
        <w:spacing w:before="0" w:beforeAutospacing="0" w:after="0" w:afterAutospacing="0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670"/>
        <w:ind w:firstLine="709"/>
        <w:jc w:val="center"/>
        <w:spacing w:before="0" w:beforeAutospacing="0" w:after="0" w:afterAutospacing="0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Планирование и организация работы комиссии</w:t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670"/>
        <w:ind w:firstLine="709"/>
        <w:jc w:val="center"/>
        <w:spacing w:before="0" w:beforeAutospacing="0" w:after="0" w:afterAutospacing="0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67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5.1. Заседания комиссии проводятся в соответствии с планом. План составляется на один год</w:t>
      </w:r>
      <w:r>
        <w:rPr>
          <w:sz w:val="28"/>
          <w:szCs w:val="28"/>
        </w:rPr>
        <w:t xml:space="preserve"> и утверждается председателем комиссии на заседании комиссии не позднее 25 декабря года, предшествующего реализации плана. </w:t>
      </w:r>
      <w:r>
        <w:rPr>
          <w:sz w:val="28"/>
          <w:szCs w:val="28"/>
        </w:rPr>
      </w:r>
    </w:p>
    <w:p>
      <w:pPr>
        <w:pStyle w:val="670"/>
        <w:ind w:firstLine="709"/>
        <w:jc w:val="both"/>
        <w:spacing w:before="0" w:beforeAutospacing="0" w:after="0" w:afterAutospacing="0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5.2. План заседаний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ответственных за подготовку вопроса.</w:t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670"/>
        <w:ind w:firstLine="709"/>
        <w:jc w:val="both"/>
        <w:spacing w:before="0" w:beforeAutospacing="0" w:after="0" w:afterAutospacing="0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</w:t>
      </w:r>
      <w:r>
        <w:rPr>
          <w:sz w:val="28"/>
          <w:szCs w:val="28"/>
        </w:rPr>
        <w:t xml:space="preserve">3. Заседания комиссии проводятся не реже одного раза в квартал. По решению председателя комиссии могут проводиться внеочередные заседания </w:t>
      </w:r>
      <w:r>
        <w:rPr>
          <w:rFonts w:eastAsiaTheme="minorHAnsi"/>
          <w:sz w:val="28"/>
          <w:szCs w:val="28"/>
          <w:lang w:eastAsia="en-US"/>
        </w:rPr>
        <w:t xml:space="preserve">комиссии. </w:t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670"/>
        <w:ind w:firstLine="709"/>
        <w:jc w:val="both"/>
        <w:spacing w:before="0" w:beforeAutospacing="0" w:after="0" w:afterAutospacing="0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проведения выездных заседаний комиссии указывается место проведения заседания.</w:t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670"/>
        <w:ind w:firstLine="709"/>
        <w:jc w:val="both"/>
        <w:spacing w:before="0" w:beforeAutospacing="0" w:after="0" w:afterAutospacing="0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5.4. Предложения в план заседаний комиссии вносятся в письменной форме в комиссию не позднее, чем за два месяца до заседания комиссии, запланированного в </w:t>
      </w:r>
      <w:r>
        <w:rPr>
          <w:rFonts w:eastAsiaTheme="minorHAnsi"/>
          <w:sz w:val="28"/>
          <w:szCs w:val="28"/>
          <w:lang w:val="en-US" w:eastAsia="en-US"/>
        </w:rPr>
        <w:t xml:space="preserve">IV</w:t>
      </w:r>
      <w:r>
        <w:rPr>
          <w:rFonts w:eastAsiaTheme="minorHAnsi"/>
          <w:sz w:val="28"/>
          <w:szCs w:val="28"/>
          <w:lang w:eastAsia="en-US"/>
        </w:rPr>
        <w:t xml:space="preserve"> квартале текущего года, либо в сроки, определенные председателем комиссии. Предложения должны содержать:</w:t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670"/>
        <w:ind w:firstLine="709"/>
        <w:jc w:val="both"/>
        <w:spacing w:before="0" w:beforeAutospacing="0" w:after="0" w:afterAutospacing="0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наименование вопроса и краткое обоснование необходимости его рассмотрения на заседании комиссии;</w:t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670"/>
        <w:ind w:firstLine="709"/>
        <w:jc w:val="both"/>
        <w:spacing w:before="0" w:beforeAutospacing="0" w:after="0" w:afterAutospacing="0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наименование органа, ответственного за подготовку вопроса;</w:t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670"/>
        <w:ind w:firstLine="709"/>
        <w:jc w:val="both"/>
        <w:spacing w:before="0" w:beforeAutospacing="0" w:after="0" w:afterAutospacing="0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перечень соисполнителей;</w:t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670"/>
        <w:ind w:firstLine="709"/>
        <w:jc w:val="both"/>
        <w:spacing w:before="0" w:beforeAutospacing="0" w:after="0" w:afterAutospacing="0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г) срок рассмотрения на заседании комиссии.</w:t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67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5.5. На основе поступивших предложений формируется проект плана заседаний комиссии на очередной год, который по согласованию с председателем комиссии в сроки, указанные в пункте 5.1 настоящего Положения, выносится для обсуждения на заседание комиссии. </w:t>
      </w:r>
      <w:r>
        <w:rPr>
          <w:sz w:val="28"/>
          <w:szCs w:val="28"/>
        </w:rPr>
      </w:r>
    </w:p>
    <w:p>
      <w:pPr>
        <w:pStyle w:val="670"/>
        <w:ind w:firstLine="709"/>
        <w:jc w:val="both"/>
        <w:spacing w:before="0" w:beforeAutospacing="0" w:after="0" w:afterAutospacing="0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5.6</w:t>
      </w:r>
      <w:r>
        <w:rPr>
          <w:rFonts w:eastAsiaTheme="minorHAnsi"/>
          <w:sz w:val="28"/>
          <w:szCs w:val="28"/>
          <w:lang w:eastAsia="en-US"/>
        </w:rPr>
        <w:t xml:space="preserve">. Копии утвержденного плана заседаний комиссии рассылаются ее членам </w:t>
      </w:r>
      <w:r>
        <w:rPr>
          <w:sz w:val="28"/>
          <w:szCs w:val="28"/>
        </w:rPr>
        <w:t xml:space="preserve">и направляется в аппарат антинаркотической комиссии в Ставропольском крае в пятидневный срок.</w:t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670"/>
        <w:ind w:firstLine="709"/>
        <w:jc w:val="both"/>
        <w:spacing w:before="0" w:beforeAutospacing="0" w:after="0" w:afterAutospacing="0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5.7. 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67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5.8. Рассмотрение на заседаниях комиссии внеплановых вопросов осуществляется по решению председателя комиссии.</w:t>
      </w:r>
      <w:r>
        <w:rPr>
          <w:sz w:val="28"/>
          <w:szCs w:val="28"/>
        </w:rPr>
      </w:r>
    </w:p>
    <w:p>
      <w:pPr>
        <w:pStyle w:val="67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5.9. Для подготовки вопросов, вносимых на рассмотрение комиссии, а также их реализации решением председателя комиссии могут создаваться рабочие группы комиссии из числа членов комиссии, </w:t>
      </w:r>
      <w:r>
        <w:rPr>
          <w:sz w:val="28"/>
          <w:szCs w:val="28"/>
        </w:rPr>
        <w:t xml:space="preserve">представителей</w:t>
      </w:r>
      <w:r>
        <w:rPr>
          <w:sz w:val="28"/>
          <w:szCs w:val="28"/>
        </w:rPr>
        <w:t xml:space="preserve"> отделов и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края, территориальных органов федеральных органов исполнительной власти,</w:t>
      </w:r>
      <w:r>
        <w:rPr>
          <w:sz w:val="28"/>
          <w:szCs w:val="28"/>
        </w:rPr>
        <w:t xml:space="preserve"> органов государственной власти Ставропольского края,</w:t>
      </w:r>
      <w:r>
        <w:rPr>
          <w:sz w:val="28"/>
          <w:szCs w:val="28"/>
        </w:rPr>
        <w:t xml:space="preserve"> государственных и муниципальных учреждений, расположенных на территории муниципального образования, а также экспертов. Порядок создания, организации деятельности и подготовки</w:t>
      </w:r>
      <w:r>
        <w:rPr>
          <w:sz w:val="28"/>
          <w:szCs w:val="28"/>
        </w:rPr>
        <w:t xml:space="preserve"> отчетности рабочих групп</w:t>
      </w:r>
      <w:r>
        <w:rPr>
          <w:sz w:val="28"/>
          <w:szCs w:val="28"/>
        </w:rPr>
        <w:t xml:space="preserve">, а также назначения их руководителей устанавливается председателем комиссии.</w:t>
      </w:r>
      <w:r>
        <w:rPr>
          <w:sz w:val="28"/>
          <w:szCs w:val="28"/>
        </w:rPr>
      </w:r>
    </w:p>
    <w:p>
      <w:pPr>
        <w:pStyle w:val="67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5.10. Доступ средств массовой информации к сведениям о деятельности комиссии и порядок размещения в информационных системах общего пользования сведений о </w:t>
      </w:r>
      <w:r>
        <w:rPr>
          <w:sz w:val="28"/>
          <w:szCs w:val="28"/>
        </w:rPr>
        <w:t xml:space="preserve">вопросах и материалах, рассматриваемых на заседаниях комиссии, определяются председателем комиссии в соответствии с законодательством о порядке освещения в средствах массовой информации деятельности органов государственной власти и местного самоуправления.</w:t>
      </w:r>
      <w:r>
        <w:rPr>
          <w:sz w:val="28"/>
          <w:szCs w:val="28"/>
        </w:rPr>
      </w:r>
    </w:p>
    <w:p>
      <w:pPr>
        <w:pStyle w:val="670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0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6. Порядок подготовки заседаний комиссии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lang w:eastAsia="ru-RU"/>
        </w:rPr>
        <w:outlineLvl w:val="0"/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6.1. Члены комиссии, представители</w:t>
      </w:r>
      <w:r>
        <w:rPr>
          <w:sz w:val="28"/>
          <w:szCs w:val="28"/>
          <w:lang w:eastAsia="ru-RU"/>
        </w:rPr>
        <w:t xml:space="preserve"> территориальных органов федеральных органов исполнительной власти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начальники </w:t>
      </w:r>
      <w:r>
        <w:rPr>
          <w:sz w:val="28"/>
          <w:szCs w:val="28"/>
          <w:lang w:eastAsia="ru-RU"/>
        </w:rPr>
        <w:t xml:space="preserve">территориальных отделов </w:t>
      </w:r>
      <w:r>
        <w:rPr>
          <w:sz w:val="28"/>
          <w:szCs w:val="28"/>
          <w:lang w:eastAsia="ru-RU"/>
        </w:rPr>
        <w:t xml:space="preserve">управления по делам т</w:t>
      </w:r>
      <w:r>
        <w:rPr>
          <w:sz w:val="28"/>
          <w:szCs w:val="28"/>
          <w:lang w:eastAsia="ru-RU"/>
        </w:rPr>
        <w:t xml:space="preserve">ерриторий</w:t>
      </w:r>
      <w:r>
        <w:rPr>
          <w:sz w:val="28"/>
          <w:szCs w:val="28"/>
          <w:lang w:eastAsia="ru-RU"/>
        </w:rPr>
        <w:t xml:space="preserve"> администрации Петровского </w:t>
      </w:r>
      <w:r>
        <w:rPr>
          <w:sz w:val="28"/>
          <w:szCs w:val="28"/>
          <w:lang w:eastAsia="ru-RU"/>
        </w:rPr>
        <w:t xml:space="preserve">муниципального</w:t>
      </w:r>
      <w:r>
        <w:rPr>
          <w:sz w:val="28"/>
          <w:szCs w:val="28"/>
          <w:lang w:eastAsia="ru-RU"/>
        </w:rPr>
        <w:t xml:space="preserve"> округа Ставропольского края, на которых возложена подготовка соответствующих материалов для рассмотрения на заседаниях комиссии, принимают участие в подготовке заседаний комиссии в соответствии с </w:t>
      </w:r>
      <w:r>
        <w:rPr>
          <w:sz w:val="28"/>
          <w:szCs w:val="28"/>
          <w:lang w:eastAsia="ru-RU"/>
        </w:rPr>
        <w:t xml:space="preserve">утверждённым</w:t>
      </w:r>
      <w:r>
        <w:rPr>
          <w:sz w:val="28"/>
          <w:szCs w:val="28"/>
          <w:lang w:eastAsia="ru-RU"/>
        </w:rPr>
        <w:t xml:space="preserve"> планом заседаний комиссии и несут персональную ответственность за качество и своевременность представления материалов.</w:t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6.2. Секретарь комиссии организует проведение заседаний комиссии и обеспечивает их информационно-аналитическое сопровождение.</w:t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6.3. Проект повестки дня заседания комиссии уточняется в процессе подготовки к очередному заседанию и представляется секретарем на утверждение председателю комиссии.</w:t>
      </w:r>
      <w:bookmarkStart w:id="0" w:name="Par24"/>
      <w:r/>
      <w:bookmarkEnd w:id="0"/>
      <w:r/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6.4. Секретарю комиссии не позднее чем за 10 рабочих дней до даты проведения заседания, представляются следующие материалы:</w:t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аналитическая справка по рассматриваемому вопросу, иллюстрационные материалы к основному докладу и содокладам;</w:t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тезисы выступления основного докладчика и содокладчиков;</w:t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в) проект решения по рассматриваемому вопросу с указанием исполнителей поручений и сроков исполнения.</w:t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6.5. Контроль за качеством и своевременностью подготовки и представления материалов для рассмотрения на заседаниях комиссии осуществляется секретарем комиссии.</w:t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6.6. Повестка дня предстоящего заседания комиссии с соответствующими материалами докладывается секретарем председателю комиссии.</w:t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6.7. Одобренные председателем комиссии проект решения, повестка заседания и соответствующие материалы рассылаются членам комиссии и участникам заседания не позднее чем за 7 дней до даты проведения заседания.</w:t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6.8. Члены комиссии и участники заседания при необходимости не позднее чем за 5 дней до начала заседания, представляют председателю комиссии в письменном виде свои замечания и предложения к проекту решения по соответствующим вопросам.</w:t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6.9. Члены комиссии не позднее чем за 2 дня до даты проведения заседания</w:t>
      </w:r>
      <w:r>
        <w:rPr>
          <w:sz w:val="28"/>
          <w:szCs w:val="28"/>
          <w:lang w:eastAsia="ru-RU"/>
        </w:rPr>
        <w:t xml:space="preserve"> комиссии, информируют председателя комиссии о своем участии в заседании или причинах отсутствия. Список членов комиссии с указанием причин невозможности участия в заседании отдельных членов комиссии докладывается секретарем комиссии председателю комиссии.</w:t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6.10. На заседания комиссии могут быть приглашены </w:t>
      </w:r>
      <w:r>
        <w:rPr>
          <w:sz w:val="28"/>
          <w:szCs w:val="28"/>
          <w:lang w:eastAsia="ru-RU"/>
        </w:rPr>
        <w:t xml:space="preserve">начальники</w:t>
      </w:r>
      <w:r>
        <w:rPr>
          <w:sz w:val="28"/>
          <w:szCs w:val="28"/>
          <w:lang w:eastAsia="ru-RU"/>
        </w:rPr>
        <w:t xml:space="preserve"> территориальных отделов</w:t>
      </w:r>
      <w:r>
        <w:rPr>
          <w:sz w:val="28"/>
          <w:szCs w:val="28"/>
          <w:lang w:eastAsia="ru-RU"/>
        </w:rPr>
        <w:t xml:space="preserve"> управления по делам территорий</w:t>
      </w:r>
      <w:r>
        <w:rPr>
          <w:sz w:val="28"/>
          <w:szCs w:val="28"/>
          <w:lang w:eastAsia="ru-RU"/>
        </w:rPr>
        <w:t xml:space="preserve"> администрации Петровского </w:t>
      </w:r>
      <w:r>
        <w:rPr>
          <w:sz w:val="28"/>
          <w:szCs w:val="28"/>
          <w:lang w:eastAsia="ru-RU"/>
        </w:rPr>
        <w:t xml:space="preserve">муниципального</w:t>
      </w:r>
      <w:r>
        <w:rPr>
          <w:sz w:val="28"/>
          <w:szCs w:val="28"/>
          <w:lang w:eastAsia="ru-RU"/>
        </w:rPr>
        <w:t xml:space="preserve"> округа Ст</w:t>
      </w:r>
      <w:r>
        <w:rPr>
          <w:sz w:val="28"/>
          <w:szCs w:val="28"/>
          <w:lang w:eastAsia="ru-RU"/>
        </w:rPr>
        <w:t xml:space="preserve">авропольского края, представители</w:t>
      </w:r>
      <w:r>
        <w:rPr>
          <w:sz w:val="28"/>
          <w:szCs w:val="28"/>
          <w:lang w:eastAsia="ru-RU"/>
        </w:rPr>
        <w:t xml:space="preserve"> территориальных органов федеральных органов испо</w:t>
      </w:r>
      <w:r>
        <w:rPr>
          <w:sz w:val="28"/>
          <w:szCs w:val="28"/>
          <w:lang w:eastAsia="ru-RU"/>
        </w:rPr>
        <w:t xml:space="preserve">лнительной власти,</w:t>
      </w:r>
      <w:r>
        <w:rPr>
          <w:sz w:val="28"/>
          <w:szCs w:val="28"/>
          <w:lang w:eastAsia="ru-RU"/>
        </w:rPr>
        <w:t xml:space="preserve"> органов исполнительной власти Ставропольского края, </w:t>
      </w:r>
      <w:r>
        <w:rPr>
          <w:sz w:val="28"/>
          <w:szCs w:val="28"/>
          <w:lang w:eastAsia="ru-RU"/>
        </w:rPr>
        <w:t xml:space="preserve">руководители</w:t>
      </w:r>
      <w:r>
        <w:rPr>
          <w:sz w:val="28"/>
          <w:szCs w:val="28"/>
        </w:rPr>
        <w:t xml:space="preserve"> отделов</w:t>
      </w:r>
      <w:r>
        <w:rPr>
          <w:sz w:val="28"/>
          <w:szCs w:val="28"/>
        </w:rPr>
        <w:t xml:space="preserve"> и органов </w:t>
      </w: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края, государственных и муниципальных учреждений, расположенных на территории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а также иных органов и организаций, имеющих непосредственное отношение к рассматриваемому вопросу.</w:t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6.11. Состав приглашаемых на заседание комиссии должностных лиц формируется секретарем комиссии на основе предложений органов, ответственных за подготовку рассматриваемых вопросов, и заблаговременно докладывается председателю комиссии.</w:t>
      </w:r>
      <w:r>
        <w:rPr>
          <w:sz w:val="28"/>
          <w:szCs w:val="28"/>
          <w:lang w:eastAsia="ru-RU"/>
        </w:rPr>
      </w:r>
    </w:p>
    <w:p>
      <w:pPr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 Порядок проведения заседаний комиссии</w:t>
      </w:r>
      <w:r>
        <w:rPr>
          <w:sz w:val="28"/>
          <w:szCs w:val="28"/>
          <w:lang w:eastAsia="ru-RU"/>
        </w:rPr>
      </w:r>
    </w:p>
    <w:p>
      <w:pPr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7.1. Заседания комиссии созываются председателем комиссии либо по его поручению секретарем комиссии.</w:t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7.2. Лица, участвующие в заседаниях комиссии, регистрируются секретарем комиссии.</w:t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7.3. Заседание комиссии считается правомочным, если на нем присутствует более половины ее членов.</w:t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7.4. Заседания проходят под председательством председателя комиссии, который:</w:t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ведет заседание комиссии;</w:t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организует обсуждение вопросов повестки дня заседания комиссии;</w:t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в) организует обсуждение поступивших от членов комиссии и участников заседания замечаний и предложений по проекту решения;</w:t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г) предоставляет слово для выступления членам комиссии, а также приглашенным лицам в порядке очередности поступивших заявок;</w:t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д) организует голосование и подсчет голосов, оглашает результаты голосования;</w:t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е) обеспечивает соблюдение требований настоящего Положения членами комиссии и приглашенными лицами.</w:t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7.5. При проведении голосования по рассматриваемому вопросу председатель комиссии голосует последним.</w:t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7.6. С докладами на заседании комиссии по вопросам его повестки выступают члены комиссии либо по согласованию с председателем комиссии в отдельных случаях лица, уполномоченные на то членами комиссии.</w:t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7.7. Регламент заседания комиссии определяется при подготовке к заседанию и утверждается непосредственно на заседании.</w:t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7.8. При голосовании член комиссии имеет один голос и голосует           лично. Член комиссии, не согласный с принятым комиссией решением, впра</w:t>
      </w:r>
      <w:r>
        <w:rPr>
          <w:sz w:val="28"/>
          <w:szCs w:val="28"/>
          <w:lang w:eastAsia="ru-RU"/>
        </w:rPr>
        <w:t xml:space="preserve">ве на заседании комиссии, на котором было принято указанное решение, после голосования довести до сведения членов комиссии особое мнение, которое вносится в протокол. Особое мнение, изложенное в письменной форме, прилагается к протоколу заседания комиссии.</w:t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7.9. Решения комиссии принимаются</w:t>
      </w:r>
      <w:r>
        <w:rPr>
          <w:sz w:val="28"/>
          <w:szCs w:val="28"/>
          <w:lang w:eastAsia="ru-RU"/>
        </w:rPr>
        <w:t xml:space="preserve">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 Результаты голосования, оглашенные председательствующим, вносятся в протокол.</w:t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7.10. Присутствие представителей средств массовой информации и проведение кино-, видео- и фотосъемок, а также звукозаписи на заседаниях комиссии организуются в порядке, определяемом председателем комиссии или по его поручению секретарем комиссии.</w:t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7.11. По решению председателя комиссии на заседаниях комиссии может вестись стенографическая запись и аудиозапись заседания.</w:t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7.12. Показ иллюстрационных материалов, сопровождающих выступления докладчика, содокладчиков и других выступающих, осуществляется секретарем комиссии с разрешения председателя комиссии.</w:t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8. Оформление решений, принятых на заседаниях комиссии</w:t>
      </w:r>
      <w:r>
        <w:rPr>
          <w:sz w:val="28"/>
          <w:szCs w:val="28"/>
          <w:lang w:eastAsia="ru-RU"/>
        </w:rPr>
      </w:r>
    </w:p>
    <w:p>
      <w:pPr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8.1. Решение комиссии оформляется протоколом, который в пятидневный срок после даты проведения заседания готовится секретарем комиссии и подписывается председательствующим на заседании.</w:t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8.2. В протоколе указываются:</w:t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фамилии председательствующего, присутствующих на заседании членов комиссии и приглашенных лиц;</w:t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вопросы, рассмотренные в ходе заседания;</w:t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в) принятые решения.</w:t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8.3. К протоколу прилагаются особые мнения членов комиссии, если таковые имеются.</w:t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8.4. В случае необходимости доработки рассмотренных на заседании комиссии проектов ма</w:t>
      </w:r>
      <w:r>
        <w:rPr>
          <w:sz w:val="28"/>
          <w:szCs w:val="28"/>
          <w:lang w:eastAsia="ru-RU"/>
        </w:rPr>
        <w:t xml:space="preserve">териалов, по которым имеются предложения и 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срок до 10 дней после даты проведения заседания комиссии.</w:t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8.5. Протоколы заседаний (выписки из протоколов заседаний) комиссии рассылаются секрета</w:t>
      </w:r>
      <w:r>
        <w:rPr>
          <w:sz w:val="28"/>
          <w:szCs w:val="28"/>
          <w:lang w:eastAsia="ru-RU"/>
        </w:rPr>
        <w:t xml:space="preserve">рем комиссии членам комиссии и в аппарат антинаркотической комиссии в Ставропольском крае, а также организациям и должностным лицам по списку, утверждаемому секретарем комиссии, в трехдневный срок после получения секретарем комиссии подписанного протокола.</w:t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9. Исполнение поручений, содержащихся в решениях комиссии</w:t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9.1. Об исполнении поручений, содержащихся в решениях комиссии, ответственные исполнители готовят отчеты о проделанной работе и ее результатах. Отчеты представляются секретарю комиссии не позднее 5 дней до истечения срока исполнения решений комиссии.</w:t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9.2. Контроль исполнения поручений, содержащихся в решениях комиссии, осуществляет секретарь комиссии.</w:t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9.3. Председатель комиссии определяет сроки и периодичность представления ему результатов контроля.</w:t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9.4. Снятие поручений с контроля осуществляется секретарем комиссии на основании решения председателя комиссии, о чем информируется исполнитель.</w:t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spacing w:before="5"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  <w:r>
        <w:rPr>
          <w:sz w:val="28"/>
          <w:szCs w:val="28"/>
        </w:rPr>
      </w:r>
    </w:p>
    <w:p>
      <w:pPr>
        <w:spacing w:before="5"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</w:r>
    </w:p>
    <w:p>
      <w:pPr>
        <w:spacing w:before="5"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  <w:bookmarkStart w:id="1" w:name="_GoBack"/>
      <w:r/>
      <w:bookmarkEnd w:id="1"/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Ю.В.Петрич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left="-1418" w:right="1274"/>
        <w:jc w:val="both"/>
        <w:spacing w:line="240" w:lineRule="exact"/>
        <w:tabs>
          <w:tab w:val="left" w:pos="-1418" w:leader="none"/>
          <w:tab w:val="left" w:pos="-1134" w:leader="none"/>
          <w:tab w:val="left" w:pos="9214" w:leader="none"/>
          <w:tab w:val="left" w:pos="935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418" w:right="567" w:bottom="1134" w:left="1985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Mangal">
    <w:panose1 w:val="02040503050406030204"/>
  </w:font>
  <w:font w:name="Verdana">
    <w:panose1 w:val="020B0604030504040204"/>
  </w:font>
  <w:font w:name="Lucida Sans Unicode">
    <w:panose1 w:val="020B0603030804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1"/>
    <w:link w:val="62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1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21"/>
    <w:link w:val="653"/>
    <w:uiPriority w:val="10"/>
    <w:rPr>
      <w:sz w:val="48"/>
      <w:szCs w:val="48"/>
    </w:rPr>
  </w:style>
  <w:style w:type="character" w:styleId="37">
    <w:name w:val="Subtitle Char"/>
    <w:basedOn w:val="621"/>
    <w:link w:val="654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1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1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1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1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rPr>
      <w:sz w:val="24"/>
      <w:szCs w:val="24"/>
      <w:lang w:eastAsia="ar-SA"/>
    </w:rPr>
  </w:style>
  <w:style w:type="paragraph" w:styleId="620">
    <w:name w:val="Heading 1"/>
    <w:basedOn w:val="619"/>
    <w:next w:val="619"/>
    <w:qFormat/>
    <w:pPr>
      <w:ind w:left="432" w:hanging="432"/>
      <w:jc w:val="both"/>
      <w:keepNext/>
      <w:tabs>
        <w:tab w:val="num" w:pos="0" w:leader="none"/>
      </w:tabs>
      <w:outlineLvl w:val="0"/>
    </w:pPr>
    <w:rPr>
      <w:sz w:val="28"/>
    </w:rPr>
  </w:style>
  <w:style w:type="character" w:styleId="621" w:default="1">
    <w:name w:val="Default Paragraph Font"/>
    <w:uiPriority w:val="1"/>
    <w:semiHidden/>
    <w:unhideWhenUsed/>
  </w:style>
  <w:style w:type="table" w:styleId="6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3" w:default="1">
    <w:name w:val="No List"/>
    <w:uiPriority w:val="99"/>
    <w:semiHidden/>
    <w:unhideWhenUsed/>
  </w:style>
  <w:style w:type="character" w:styleId="624" w:customStyle="1">
    <w:name w:val="WW8Num1z0"/>
  </w:style>
  <w:style w:type="character" w:styleId="625" w:customStyle="1">
    <w:name w:val="WW8Num1z1"/>
  </w:style>
  <w:style w:type="character" w:styleId="626" w:customStyle="1">
    <w:name w:val="WW8Num1z2"/>
  </w:style>
  <w:style w:type="character" w:styleId="627" w:customStyle="1">
    <w:name w:val="WW8Num1z3"/>
  </w:style>
  <w:style w:type="character" w:styleId="628" w:customStyle="1">
    <w:name w:val="WW8Num1z4"/>
  </w:style>
  <w:style w:type="character" w:styleId="629" w:customStyle="1">
    <w:name w:val="WW8Num1z5"/>
  </w:style>
  <w:style w:type="character" w:styleId="630" w:customStyle="1">
    <w:name w:val="WW8Num1z6"/>
  </w:style>
  <w:style w:type="character" w:styleId="631" w:customStyle="1">
    <w:name w:val="WW8Num1z7"/>
  </w:style>
  <w:style w:type="character" w:styleId="632" w:customStyle="1">
    <w:name w:val="WW8Num1z8"/>
  </w:style>
  <w:style w:type="character" w:styleId="633" w:customStyle="1">
    <w:name w:val="Основной шрифт абзаца2"/>
  </w:style>
  <w:style w:type="character" w:styleId="634" w:customStyle="1">
    <w:name w:val="Основной шрифт абзаца1"/>
  </w:style>
  <w:style w:type="character" w:styleId="635" w:customStyle="1">
    <w:name w:val="Заголовок 1 Знак"/>
    <w:basedOn w:val="633"/>
    <w:rPr>
      <w:sz w:val="28"/>
      <w:szCs w:val="24"/>
      <w:lang w:val="ru-RU" w:eastAsia="ar-SA" w:bidi="ar-SA"/>
    </w:rPr>
  </w:style>
  <w:style w:type="character" w:styleId="636" w:customStyle="1">
    <w:name w:val="Знак Знак"/>
    <w:basedOn w:val="633"/>
    <w:rPr>
      <w:sz w:val="28"/>
      <w:szCs w:val="24"/>
      <w:lang w:val="ru-RU" w:eastAsia="ar-SA" w:bidi="ar-SA"/>
    </w:rPr>
  </w:style>
  <w:style w:type="character" w:styleId="637" w:customStyle="1">
    <w:name w:val="Название Знак"/>
    <w:basedOn w:val="633"/>
    <w:link w:val="671"/>
    <w:rPr>
      <w:b/>
      <w:bCs/>
      <w:sz w:val="32"/>
      <w:szCs w:val="24"/>
    </w:rPr>
  </w:style>
  <w:style w:type="character" w:styleId="638" w:customStyle="1">
    <w:name w:val="Основной текст с отступом Знак"/>
    <w:basedOn w:val="633"/>
    <w:rPr>
      <w:sz w:val="24"/>
      <w:szCs w:val="24"/>
    </w:rPr>
  </w:style>
  <w:style w:type="character" w:styleId="639" w:customStyle="1">
    <w:name w:val="Font Style11"/>
    <w:basedOn w:val="633"/>
    <w:rPr>
      <w:rFonts w:ascii="Times New Roman" w:hAnsi="Times New Roman" w:cs="Times New Roman"/>
      <w:sz w:val="18"/>
      <w:szCs w:val="18"/>
    </w:rPr>
  </w:style>
  <w:style w:type="character" w:styleId="640" w:customStyle="1">
    <w:name w:val="Font Style12"/>
    <w:basedOn w:val="633"/>
    <w:rPr>
      <w:rFonts w:ascii="Times New Roman" w:hAnsi="Times New Roman" w:cs="Times New Roman"/>
      <w:sz w:val="26"/>
      <w:szCs w:val="26"/>
    </w:rPr>
  </w:style>
  <w:style w:type="character" w:styleId="641" w:customStyle="1">
    <w:name w:val="Font Style13"/>
    <w:basedOn w:val="633"/>
    <w:rPr>
      <w:rFonts w:ascii="Times New Roman" w:hAnsi="Times New Roman" w:cs="Times New Roman"/>
      <w:sz w:val="28"/>
      <w:szCs w:val="28"/>
    </w:rPr>
  </w:style>
  <w:style w:type="character" w:styleId="642" w:customStyle="1">
    <w:name w:val="Font Style15"/>
    <w:basedOn w:val="633"/>
    <w:rPr>
      <w:rFonts w:ascii="Times New Roman" w:hAnsi="Times New Roman" w:cs="Times New Roman"/>
      <w:sz w:val="24"/>
      <w:szCs w:val="24"/>
    </w:rPr>
  </w:style>
  <w:style w:type="paragraph" w:styleId="643" w:customStyle="1">
    <w:name w:val="Заголовок1"/>
    <w:basedOn w:val="619"/>
    <w:next w:val="644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644">
    <w:name w:val="Body Text"/>
    <w:basedOn w:val="619"/>
    <w:pPr>
      <w:spacing w:after="120"/>
    </w:pPr>
  </w:style>
  <w:style w:type="paragraph" w:styleId="645">
    <w:name w:val="List"/>
    <w:basedOn w:val="644"/>
    <w:rPr>
      <w:rFonts w:cs="Tahoma"/>
    </w:rPr>
  </w:style>
  <w:style w:type="paragraph" w:styleId="646" w:customStyle="1">
    <w:name w:val="Название2"/>
    <w:basedOn w:val="619"/>
    <w:pPr>
      <w:spacing w:before="120" w:after="120"/>
      <w:suppressLineNumbers/>
    </w:pPr>
    <w:rPr>
      <w:rFonts w:cs="Mangal"/>
      <w:i/>
      <w:iCs/>
    </w:rPr>
  </w:style>
  <w:style w:type="paragraph" w:styleId="647" w:customStyle="1">
    <w:name w:val="Указатель2"/>
    <w:basedOn w:val="619"/>
    <w:pPr>
      <w:suppressLineNumbers/>
    </w:pPr>
    <w:rPr>
      <w:rFonts w:cs="Mangal"/>
    </w:rPr>
  </w:style>
  <w:style w:type="paragraph" w:styleId="648" w:customStyle="1">
    <w:name w:val="Название1"/>
    <w:basedOn w:val="619"/>
    <w:pPr>
      <w:spacing w:before="120" w:after="120"/>
      <w:suppressLineNumbers/>
    </w:pPr>
    <w:rPr>
      <w:rFonts w:cs="Tahoma"/>
      <w:i/>
      <w:iCs/>
    </w:rPr>
  </w:style>
  <w:style w:type="paragraph" w:styleId="649" w:customStyle="1">
    <w:name w:val="Указатель1"/>
    <w:basedOn w:val="619"/>
    <w:pPr>
      <w:suppressLineNumbers/>
    </w:pPr>
    <w:rPr>
      <w:rFonts w:cs="Tahoma"/>
    </w:rPr>
  </w:style>
  <w:style w:type="paragraph" w:styleId="650" w:customStyle="1">
    <w:name w:val="Знак Знак Знак Знак Знак Знак Знак"/>
    <w:basedOn w:val="61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651" w:customStyle="1">
    <w:name w:val="ConsNonformat"/>
    <w:pPr>
      <w:ind w:right="19772"/>
      <w:widowControl w:val="off"/>
    </w:pPr>
    <w:rPr>
      <w:rFonts w:ascii="Courier New" w:hAnsi="Courier New" w:cs="Courier New"/>
      <w:lang w:eastAsia="ar-SA"/>
    </w:rPr>
  </w:style>
  <w:style w:type="paragraph" w:styleId="652" w:customStyle="1">
    <w:name w:val="ConsPlusNormal"/>
    <w:pPr>
      <w:ind w:firstLine="720"/>
      <w:widowControl w:val="off"/>
    </w:pPr>
    <w:rPr>
      <w:rFonts w:ascii="Arial" w:hAnsi="Arial" w:cs="Arial"/>
      <w:lang w:eastAsia="ar-SA"/>
    </w:rPr>
  </w:style>
  <w:style w:type="paragraph" w:styleId="653">
    <w:name w:val="Title"/>
    <w:basedOn w:val="619"/>
    <w:next w:val="654"/>
    <w:qFormat/>
    <w:pPr>
      <w:jc w:val="center"/>
    </w:pPr>
    <w:rPr>
      <w:b/>
      <w:bCs/>
      <w:sz w:val="32"/>
    </w:rPr>
  </w:style>
  <w:style w:type="paragraph" w:styleId="654">
    <w:name w:val="Subtitle"/>
    <w:basedOn w:val="643"/>
    <w:next w:val="644"/>
    <w:qFormat/>
    <w:pPr>
      <w:jc w:val="center"/>
    </w:pPr>
    <w:rPr>
      <w:i/>
      <w:iCs/>
    </w:rPr>
  </w:style>
  <w:style w:type="paragraph" w:styleId="655">
    <w:name w:val="Body Text Indent"/>
    <w:basedOn w:val="619"/>
    <w:pPr>
      <w:ind w:left="283"/>
      <w:spacing w:after="120"/>
    </w:pPr>
  </w:style>
  <w:style w:type="paragraph" w:styleId="656" w:customStyle="1">
    <w:name w:val="ConsPlusCell"/>
    <w:pPr>
      <w:widowControl w:val="off"/>
    </w:pPr>
    <w:rPr>
      <w:rFonts w:ascii="Calibri" w:hAnsi="Calibri" w:cs="Calibri"/>
      <w:sz w:val="22"/>
      <w:szCs w:val="22"/>
      <w:lang w:eastAsia="ar-SA"/>
    </w:rPr>
  </w:style>
  <w:style w:type="paragraph" w:styleId="657" w:customStyle="1">
    <w:name w:val="Style3"/>
    <w:basedOn w:val="619"/>
    <w:pPr>
      <w:jc w:val="both"/>
      <w:spacing w:line="219" w:lineRule="exact"/>
      <w:widowControl w:val="off"/>
    </w:pPr>
  </w:style>
  <w:style w:type="paragraph" w:styleId="658" w:customStyle="1">
    <w:name w:val="Содержимое таблицы"/>
    <w:basedOn w:val="619"/>
    <w:pPr>
      <w:suppressLineNumbers/>
    </w:pPr>
  </w:style>
  <w:style w:type="paragraph" w:styleId="659" w:customStyle="1">
    <w:name w:val="Заголовок таблицы"/>
    <w:basedOn w:val="658"/>
    <w:pPr>
      <w:jc w:val="center"/>
    </w:pPr>
    <w:rPr>
      <w:b/>
      <w:bCs/>
    </w:rPr>
  </w:style>
  <w:style w:type="paragraph" w:styleId="660" w:customStyle="1">
    <w:name w:val="ConsPlusNonformat"/>
    <w:rPr>
      <w:rFonts w:ascii="Courier New" w:hAnsi="Courier New" w:cs="Courier New"/>
      <w:lang w:eastAsia="ar-SA"/>
    </w:rPr>
  </w:style>
  <w:style w:type="paragraph" w:styleId="661" w:customStyle="1">
    <w:name w:val="Style5"/>
    <w:basedOn w:val="619"/>
    <w:pPr>
      <w:jc w:val="both"/>
      <w:spacing w:line="312" w:lineRule="exact"/>
      <w:widowControl w:val="off"/>
    </w:pPr>
  </w:style>
  <w:style w:type="paragraph" w:styleId="662">
    <w:name w:val="No Spacing"/>
    <w:uiPriority w:val="1"/>
    <w:qFormat/>
    <w:rPr>
      <w:sz w:val="24"/>
      <w:szCs w:val="24"/>
      <w:lang w:eastAsia="ar-SA"/>
    </w:rPr>
  </w:style>
  <w:style w:type="table" w:styleId="663">
    <w:name w:val="Table Grid"/>
    <w:basedOn w:val="622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64">
    <w:name w:val="Balloon Text"/>
    <w:basedOn w:val="619"/>
    <w:link w:val="665"/>
    <w:uiPriority w:val="99"/>
    <w:semiHidden/>
    <w:unhideWhenUsed/>
    <w:rPr>
      <w:rFonts w:ascii="Tahoma" w:hAnsi="Tahoma" w:cs="Tahoma"/>
      <w:sz w:val="16"/>
      <w:szCs w:val="16"/>
    </w:rPr>
  </w:style>
  <w:style w:type="character" w:styleId="665" w:customStyle="1">
    <w:name w:val="Текст выноски Знак"/>
    <w:basedOn w:val="621"/>
    <w:link w:val="664"/>
    <w:uiPriority w:val="99"/>
    <w:semiHidden/>
    <w:rPr>
      <w:rFonts w:ascii="Tahoma" w:hAnsi="Tahoma" w:cs="Tahoma"/>
      <w:sz w:val="16"/>
      <w:szCs w:val="16"/>
      <w:lang w:eastAsia="ar-SA"/>
    </w:rPr>
  </w:style>
  <w:style w:type="paragraph" w:styleId="666">
    <w:name w:val="List Paragraph"/>
    <w:basedOn w:val="619"/>
    <w:uiPriority w:val="34"/>
    <w:qFormat/>
    <w:pPr>
      <w:contextualSpacing/>
      <w:ind w:left="720"/>
    </w:pPr>
  </w:style>
  <w:style w:type="character" w:styleId="667" w:customStyle="1">
    <w:name w:val="Font Style14"/>
    <w:basedOn w:val="621"/>
    <w:uiPriority w:val="99"/>
    <w:rPr>
      <w:rFonts w:ascii="Times New Roman" w:hAnsi="Times New Roman" w:cs="Times New Roman"/>
      <w:sz w:val="26"/>
      <w:szCs w:val="26"/>
    </w:rPr>
  </w:style>
  <w:style w:type="paragraph" w:styleId="668" w:customStyle="1">
    <w:name w:val="Style6"/>
    <w:basedOn w:val="619"/>
    <w:uiPriority w:val="99"/>
    <w:pPr>
      <w:ind w:firstLine="562"/>
      <w:jc w:val="both"/>
      <w:spacing w:line="324" w:lineRule="exact"/>
      <w:widowControl w:val="off"/>
    </w:pPr>
    <w:rPr>
      <w:lang w:eastAsia="ru-RU"/>
    </w:rPr>
  </w:style>
  <w:style w:type="paragraph" w:styleId="669" w:customStyle="1">
    <w:name w:val="Default"/>
    <w:rPr>
      <w:rFonts w:eastAsiaTheme="minorEastAsia"/>
      <w:color w:val="000000"/>
      <w:sz w:val="24"/>
      <w:szCs w:val="24"/>
    </w:rPr>
  </w:style>
  <w:style w:type="paragraph" w:styleId="670" w:customStyle="1">
    <w:name w:val="pj"/>
    <w:basedOn w:val="619"/>
    <w:pPr>
      <w:spacing w:before="100" w:beforeAutospacing="1" w:after="100" w:afterAutospacing="1"/>
    </w:pPr>
    <w:rPr>
      <w:lang w:eastAsia="ru-RU"/>
    </w:rPr>
  </w:style>
  <w:style w:type="paragraph" w:styleId="671" w:customStyle="1">
    <w:name w:val="StGen0"/>
    <w:basedOn w:val="619"/>
    <w:next w:val="653"/>
    <w:link w:val="637"/>
    <w:qFormat/>
    <w:pPr>
      <w:jc w:val="center"/>
    </w:pPr>
    <w:rPr>
      <w:b/>
      <w:bCs/>
      <w:sz w:val="32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BD77C-12C0-4A9D-B3FA-83C9A627E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12</cp:revision>
  <dcterms:created xsi:type="dcterms:W3CDTF">2023-07-11T06:40:00Z</dcterms:created>
  <dcterms:modified xsi:type="dcterms:W3CDTF">2024-01-30T10:54:33Z</dcterms:modified>
</cp:coreProperties>
</file>