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6"/>
        <w:rPr>
          <w:rFonts w:ascii="Times New Roman" w:hAnsi="Times New Roman" w:cs="Times New Roman"/>
        </w:rPr>
      </w:pPr>
      <w:r>
        <w:rPr>
          <w:rFonts w:cs="Times New Roman" w:ascii="Times New Roman" w:hAnsi="Times New Roman"/>
        </w:rPr>
        <w:t>П О С Т А Н О В Л Е Н И Е</w:t>
      </w:r>
    </w:p>
    <w:p>
      <w:pPr>
        <w:pStyle w:val="Style16"/>
        <w:rPr>
          <w:rFonts w:ascii="Times New Roman" w:hAnsi="Times New Roman" w:cs="Times New Roman"/>
          <w:sz w:val="28"/>
          <w:szCs w:val="28"/>
        </w:rPr>
      </w:pPr>
      <w:r>
        <w:rPr>
          <w:rFonts w:cs="Times New Roman" w:ascii="Times New Roman" w:hAnsi="Times New Roman"/>
          <w:sz w:val="28"/>
          <w:szCs w:val="28"/>
        </w:rPr>
      </w:r>
    </w:p>
    <w:p>
      <w:pPr>
        <w:pStyle w:val="Style16"/>
        <w:rPr>
          <w:rFonts w:ascii="Times New Roman" w:hAnsi="Times New Roman" w:cs="Times New Roman"/>
          <w:b w:val="false"/>
          <w:bCs w:val="false"/>
          <w:sz w:val="24"/>
          <w:szCs w:val="24"/>
        </w:rPr>
      </w:pPr>
      <w:r>
        <w:rPr>
          <w:rFonts w:cs="Times New Roman" w:ascii="Times New Roman" w:hAnsi="Times New Roman"/>
          <w:b w:val="false"/>
          <w:bCs w:val="false"/>
          <w:sz w:val="24"/>
          <w:szCs w:val="24"/>
        </w:rPr>
        <w:t xml:space="preserve">АДМИНИСТРАЦИИ ПЕТРОВСКОГО ГОРОДСКОГО ОКРУГА </w:t>
      </w:r>
    </w:p>
    <w:p>
      <w:pPr>
        <w:pStyle w:val="Style16"/>
        <w:rPr>
          <w:rFonts w:ascii="Times New Roman" w:hAnsi="Times New Roman" w:cs="Times New Roman"/>
          <w:b w:val="false"/>
          <w:bCs w:val="false"/>
          <w:sz w:val="24"/>
          <w:szCs w:val="24"/>
        </w:rPr>
      </w:pPr>
      <w:r>
        <w:rPr>
          <w:rFonts w:cs="Times New Roman" w:ascii="Times New Roman" w:hAnsi="Times New Roman"/>
          <w:b w:val="false"/>
          <w:bCs w:val="false"/>
          <w:sz w:val="24"/>
          <w:szCs w:val="24"/>
        </w:rPr>
        <w:t>СТАВРОПОЛЬСКОГО КРАЯ</w:t>
      </w:r>
    </w:p>
    <w:p>
      <w:pPr>
        <w:pStyle w:val="Style16"/>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tbl>
      <w:tblPr>
        <w:tblW w:w="9356" w:type="dxa"/>
        <w:jc w:val="left"/>
        <w:tblInd w:w="0" w:type="dxa"/>
        <w:tblLayout w:type="fixed"/>
        <w:tblCellMar>
          <w:top w:w="0" w:type="dxa"/>
          <w:left w:w="108" w:type="dxa"/>
          <w:bottom w:w="0" w:type="dxa"/>
          <w:right w:w="108" w:type="dxa"/>
        </w:tblCellMar>
      </w:tblPr>
      <w:tblGrid>
        <w:gridCol w:w="2849"/>
        <w:gridCol w:w="3171"/>
        <w:gridCol w:w="3336"/>
      </w:tblGrid>
      <w:tr>
        <w:trPr>
          <w:trHeight w:val="229" w:hRule="atLeast"/>
        </w:trPr>
        <w:tc>
          <w:tcPr>
            <w:tcW w:w="2849" w:type="dxa"/>
            <w:tcBorders/>
          </w:tcPr>
          <w:p>
            <w:pPr>
              <w:pStyle w:val="Style16"/>
              <w:ind w:left="-108" w:hanging="0"/>
              <w:jc w:val="both"/>
              <w:rPr>
                <w:rFonts w:ascii="Times New Roman" w:hAnsi="Times New Roman" w:cs="Times New Roman"/>
                <w:b w:val="false"/>
                <w:bCs w:val="false"/>
                <w:sz w:val="24"/>
                <w:szCs w:val="24"/>
              </w:rPr>
            </w:pPr>
            <w:r>
              <w:rPr>
                <w:rFonts w:eastAsia="Calibri"/>
                <w:b w:val="false"/>
                <w:bCs w:val="false"/>
                <w:sz w:val="24"/>
                <w:szCs w:val="24"/>
              </w:rPr>
              <w:t xml:space="preserve">  </w:t>
            </w:r>
            <w:r>
              <w:rPr>
                <w:rFonts w:cs="Times New Roman" w:ascii="Times New Roman" w:hAnsi="Times New Roman"/>
                <w:b w:val="false"/>
                <w:bCs w:val="false"/>
                <w:sz w:val="24"/>
                <w:szCs w:val="24"/>
              </w:rPr>
              <w:t>18 февраля 2019 г.</w:t>
            </w:r>
          </w:p>
        </w:tc>
        <w:tc>
          <w:tcPr>
            <w:tcW w:w="3171" w:type="dxa"/>
            <w:tcBorders/>
          </w:tcPr>
          <w:p>
            <w:pPr>
              <w:pStyle w:val="Normal"/>
              <w:spacing w:before="0" w:after="200"/>
              <w:jc w:val="center"/>
              <w:rPr>
                <w:rFonts w:ascii="Times New Roman" w:hAnsi="Times New Roman" w:cs="Times New Roman"/>
                <w:b/>
                <w:bCs/>
                <w:sz w:val="24"/>
                <w:szCs w:val="24"/>
              </w:rPr>
            </w:pPr>
            <w:r>
              <w:rPr>
                <w:rFonts w:cs="Times New Roman" w:ascii="Times New Roman" w:hAnsi="Times New Roman"/>
                <w:sz w:val="24"/>
                <w:szCs w:val="24"/>
              </w:rPr>
              <w:t xml:space="preserve">г. Светлоград                                                   </w:t>
            </w:r>
          </w:p>
        </w:tc>
        <w:tc>
          <w:tcPr>
            <w:tcW w:w="3336" w:type="dxa"/>
            <w:tcBorders/>
          </w:tcPr>
          <w:p>
            <w:pPr>
              <w:pStyle w:val="Style16"/>
              <w:rPr>
                <w:rFonts w:ascii="Times New Roman" w:hAnsi="Times New Roman" w:cs="Times New Roman"/>
                <w:b w:val="false"/>
                <w:bCs w:val="false"/>
                <w:sz w:val="24"/>
                <w:szCs w:val="24"/>
              </w:rPr>
            </w:pPr>
            <w:r>
              <w:rPr>
                <w:rFonts w:cs="Times New Roman" w:ascii="Times New Roman" w:hAnsi="Times New Roman"/>
                <w:b w:val="false"/>
                <w:bCs w:val="false"/>
                <w:sz w:val="24"/>
                <w:szCs w:val="24"/>
              </w:rPr>
              <w:t xml:space="preserve">                                    № </w:t>
            </w:r>
            <w:r>
              <w:rPr>
                <w:rFonts w:cs="Times New Roman" w:ascii="Times New Roman" w:hAnsi="Times New Roman"/>
                <w:b w:val="false"/>
                <w:bCs w:val="false"/>
                <w:sz w:val="24"/>
                <w:szCs w:val="24"/>
              </w:rPr>
              <w:t>336</w:t>
            </w:r>
          </w:p>
        </w:tc>
      </w:tr>
    </w:tbl>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t>О мерах по реализации решения Совета депутатов Петровского городского округа Ставропольского края от 14 декабря 2018 года № 194 «О бюджете Петровского городского округа Ставропольского края на 2019 год и плановый период 2020 и 2021 годов»</w:t>
      </w:r>
    </w:p>
    <w:p>
      <w:pPr>
        <w:pStyle w:val="Normal"/>
        <w:shd w:fill="FFFFFF" w:val="clear"/>
        <w:spacing w:lineRule="auto" w:line="240" w:before="0" w:after="0"/>
        <w:ind w:left="10" w:right="-5" w:firstLine="69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hd w:fill="FFFFFF" w:val="clear"/>
        <w:spacing w:lineRule="auto" w:line="240" w:before="0" w:after="0"/>
        <w:ind w:left="10" w:right="-5" w:firstLine="69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hd w:fill="FFFFFF" w:val="clear"/>
        <w:spacing w:lineRule="auto" w:line="240" w:before="0" w:after="0"/>
        <w:ind w:left="11" w:right="-6" w:firstLine="697"/>
        <w:jc w:val="both"/>
        <w:rPr/>
      </w:pPr>
      <w:r>
        <w:rPr>
          <w:rFonts w:cs="Times New Roman" w:ascii="Times New Roman" w:hAnsi="Times New Roman"/>
          <w:color w:val="000000"/>
          <w:sz w:val="28"/>
          <w:szCs w:val="28"/>
        </w:rPr>
        <w:t xml:space="preserve">В соответствии с решением </w:t>
      </w:r>
      <w:r>
        <w:rPr>
          <w:rFonts w:cs="Times New Roman" w:ascii="Times New Roman" w:hAnsi="Times New Roman"/>
          <w:sz w:val="28"/>
          <w:szCs w:val="28"/>
        </w:rPr>
        <w:t xml:space="preserve">Совета депутатов Петровского городского округа Ставропольского края от 14 декабря 2018 года № 194 «О бюджете Петровского городского округа Ставропольского края на 2019 год и плановый период 2020 и 2021 годов» </w:t>
      </w:r>
      <w:r>
        <w:rPr>
          <w:rFonts w:cs="Times New Roman" w:ascii="Times New Roman" w:hAnsi="Times New Roman"/>
          <w:color w:val="000000"/>
          <w:sz w:val="28"/>
          <w:szCs w:val="28"/>
        </w:rPr>
        <w:t>администрация Петровского городского округа Ставропольского края</w:t>
      </w:r>
    </w:p>
    <w:p>
      <w:pPr>
        <w:pStyle w:val="Normal"/>
        <w:shd w:fill="FFFFFF" w:val="clear"/>
        <w:spacing w:lineRule="auto" w:line="240" w:before="0" w:after="0"/>
        <w:ind w:left="10" w:right="-5" w:hanging="1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hd w:fill="FFFFFF" w:val="clear"/>
        <w:spacing w:lineRule="auto" w:line="240" w:before="0" w:after="0"/>
        <w:ind w:left="10" w:right="-5" w:hanging="1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hd w:fill="FFFFFF" w:val="clear"/>
        <w:spacing w:lineRule="auto" w:line="240" w:before="0" w:after="0"/>
        <w:ind w:left="10" w:right="-5" w:hanging="10"/>
        <w:jc w:val="both"/>
        <w:rPr>
          <w:rFonts w:ascii="Times New Roman" w:hAnsi="Times New Roman" w:cs="Times New Roman"/>
          <w:color w:val="000000"/>
          <w:sz w:val="28"/>
          <w:szCs w:val="28"/>
        </w:rPr>
      </w:pPr>
      <w:r>
        <w:rPr>
          <w:rFonts w:cs="Times New Roman" w:ascii="Times New Roman" w:hAnsi="Times New Roman"/>
          <w:color w:val="000000"/>
          <w:sz w:val="28"/>
          <w:szCs w:val="28"/>
        </w:rPr>
        <w:t>ПОСТАНОВЛЯЕТ:</w:t>
      </w:r>
    </w:p>
    <w:p>
      <w:pPr>
        <w:pStyle w:val="ConsPlusNormal"/>
        <w:jc w:val="both"/>
        <w:rPr>
          <w:rFonts w:ascii="Times New Roman" w:hAnsi="Times New Roman" w:cs="Times New Roman"/>
          <w:color w:val="000000"/>
          <w:sz w:val="28"/>
          <w:szCs w:val="28"/>
        </w:rPr>
      </w:pPr>
      <w:r>
        <w:rPr>
          <w:rFonts w:cs="Times New Roman"/>
          <w:color w:val="000000"/>
          <w:sz w:val="28"/>
          <w:szCs w:val="28"/>
        </w:rPr>
      </w:r>
    </w:p>
    <w:p>
      <w:pPr>
        <w:pStyle w:val="ConsPlusNormal"/>
        <w:jc w:val="both"/>
        <w:rPr/>
      </w:pPr>
      <w:r>
        <w:rPr/>
      </w:r>
    </w:p>
    <w:p>
      <w:pPr>
        <w:pStyle w:val="ConsPlusNormal"/>
        <w:ind w:firstLine="709"/>
        <w:jc w:val="both"/>
        <w:rPr>
          <w:sz w:val="28"/>
          <w:szCs w:val="28"/>
        </w:rPr>
      </w:pPr>
      <w:r>
        <w:rPr>
          <w:sz w:val="28"/>
          <w:szCs w:val="28"/>
        </w:rPr>
        <w:t>1. Принять к исполнению бюджет Петровского городского округа Ставропольского края на 2019 год и плановый период 2020 и 2021 годов (далее – местный бюджет).</w:t>
      </w:r>
    </w:p>
    <w:p>
      <w:pPr>
        <w:pStyle w:val="ConsPlusNormal"/>
        <w:ind w:firstLine="709"/>
        <w:jc w:val="both"/>
        <w:rPr>
          <w:sz w:val="28"/>
          <w:szCs w:val="28"/>
        </w:rPr>
      </w:pPr>
      <w:r>
        <w:rPr>
          <w:sz w:val="28"/>
          <w:szCs w:val="28"/>
        </w:rPr>
      </w:r>
    </w:p>
    <w:p>
      <w:pPr>
        <w:pStyle w:val="ConsPlusNormal"/>
        <w:ind w:firstLine="709"/>
        <w:jc w:val="both"/>
        <w:rPr/>
      </w:pPr>
      <w:r>
        <w:rPr>
          <w:sz w:val="28"/>
          <w:szCs w:val="28"/>
        </w:rPr>
        <w:t>2. Главным администраторам доходов местного бюджета:</w:t>
      </w:r>
    </w:p>
    <w:p>
      <w:pPr>
        <w:pStyle w:val="ConsPlusNormal"/>
        <w:ind w:firstLine="709"/>
        <w:jc w:val="both"/>
        <w:rPr/>
      </w:pPr>
      <w:r>
        <w:rPr>
          <w:sz w:val="28"/>
          <w:szCs w:val="28"/>
        </w:rPr>
        <w:t>2.1. Принимать меры, способствующие увеличению поступлений налогов, сборов и других обязательных платежей в местный бюджет, а также сокращению задолженности по их уплате, в пределах своей компетенции.</w:t>
      </w:r>
    </w:p>
    <w:p>
      <w:pPr>
        <w:pStyle w:val="ConsPlusNormal"/>
        <w:ind w:firstLine="709"/>
        <w:jc w:val="both"/>
        <w:rPr/>
      </w:pPr>
      <w:r>
        <w:rPr>
          <w:sz w:val="28"/>
          <w:szCs w:val="28"/>
        </w:rPr>
        <w:t>2.2. Представлять в финансовое управление администрации Петровского городского округа Ставропольского края (далее – финансовое управление) аналитические материалы по исполнению местного бюджета, прогнозной оценке поступлений в части доходов местного бюджета ежеквартально до 20 числа месяца, следующего за отчетным периодом.</w:t>
      </w:r>
    </w:p>
    <w:p>
      <w:pPr>
        <w:pStyle w:val="ConsPlusNormal"/>
        <w:ind w:firstLine="709"/>
        <w:jc w:val="both"/>
        <w:rPr/>
      </w:pPr>
      <w:r>
        <w:rPr>
          <w:sz w:val="28"/>
          <w:szCs w:val="28"/>
        </w:rPr>
        <w:t>2.3. Обеспечить оперативное осуществление администраторами доходов местного бюджета мероприятий по:</w:t>
      </w:r>
    </w:p>
    <w:p>
      <w:pPr>
        <w:pStyle w:val="ConsPlusNormal"/>
        <w:ind w:firstLine="709"/>
        <w:jc w:val="both"/>
        <w:rPr/>
      </w:pPr>
      <w:r>
        <w:rPr>
          <w:sz w:val="28"/>
          <w:szCs w:val="28"/>
        </w:rPr>
        <w:t>уточнению невыясненных поступлений, зачисляемых в местный бюджет;</w:t>
      </w:r>
    </w:p>
    <w:p>
      <w:pPr>
        <w:pStyle w:val="ConsPlusNormal"/>
        <w:ind w:firstLine="709"/>
        <w:jc w:val="both"/>
        <w:rPr/>
      </w:pPr>
      <w:r>
        <w:rPr>
          <w:sz w:val="28"/>
          <w:szCs w:val="28"/>
        </w:rPr>
        <w:t>взысканию задолженности по платежам в местный бюджет, пеней и штрафов;</w:t>
      </w:r>
    </w:p>
    <w:p>
      <w:pPr>
        <w:pStyle w:val="ConsPlusNormal"/>
        <w:ind w:firstLine="709"/>
        <w:jc w:val="both"/>
        <w:rPr/>
      </w:pPr>
      <w:r>
        <w:rPr>
          <w:sz w:val="28"/>
          <w:szCs w:val="28"/>
        </w:rPr>
        <w:t>занесению в Государственную информационную систему о государственных и муниципальных платежах информации о платежах, являющихся источниками формирования местного бюджета.</w:t>
      </w:r>
    </w:p>
    <w:p>
      <w:pPr>
        <w:pStyle w:val="ConsPlusNormal"/>
        <w:ind w:firstLine="709"/>
        <w:jc w:val="both"/>
        <w:rPr>
          <w:sz w:val="28"/>
          <w:szCs w:val="28"/>
        </w:rPr>
      </w:pPr>
      <w:r>
        <w:rPr>
          <w:sz w:val="28"/>
          <w:szCs w:val="28"/>
        </w:rPr>
        <w:t>2.4. В случае изменения полномочий органов местного самоуправления Петровского городского округа Ставропольского края, органов администрации Петровского городского округа Ставропольского края и (или) состава администрируемых ими доходов местного бюджета представлять в финансовое управление информацию об указанных изменениях в течение 5 рабочих дней со дня вступления в силу нормативных правовых актов Российской Федерации, Ставропольского края, Петровского городского округа Ставропольского края, в соответствии с которыми изменяются полномочия и (или) состав администрируемых доходов.</w:t>
      </w:r>
    </w:p>
    <w:p>
      <w:pPr>
        <w:pStyle w:val="ConsPlusNormal"/>
        <w:ind w:firstLine="709"/>
        <w:jc w:val="both"/>
        <w:rPr>
          <w:sz w:val="28"/>
          <w:szCs w:val="28"/>
        </w:rPr>
      </w:pPr>
      <w:r>
        <w:rPr>
          <w:sz w:val="28"/>
          <w:szCs w:val="28"/>
        </w:rPr>
      </w:r>
    </w:p>
    <w:p>
      <w:pPr>
        <w:pStyle w:val="ConsPlusNormal"/>
        <w:ind w:firstLine="709"/>
        <w:jc w:val="both"/>
        <w:rPr>
          <w:sz w:val="28"/>
          <w:szCs w:val="28"/>
        </w:rPr>
      </w:pPr>
      <w:r>
        <w:rPr>
          <w:sz w:val="28"/>
          <w:szCs w:val="28"/>
        </w:rPr>
        <w:t>3. Финансовому управлению в случае снижения прогнозируемого объема исполнения местного бюджета по доходам обеспечить доведение предельных объемов оплаты денежных обязательств до главных распорядителей средств местного бюджета для осуществления выплат по приоритетным расходам, указанным в пункте 10 решения Совета депутатов Петровского городского округа Ставропольского края от 14 декабря 2018 года № 194 «О бюджете Петровского городского округа Ставропольского края на 2019 год и плановый период 2020 и 2021 годов» (далее – Решение о местном бюджете).</w:t>
      </w:r>
    </w:p>
    <w:p>
      <w:pPr>
        <w:pStyle w:val="ConsPlusNormal"/>
        <w:ind w:firstLine="709"/>
        <w:jc w:val="both"/>
        <w:rPr>
          <w:sz w:val="28"/>
          <w:szCs w:val="28"/>
        </w:rPr>
      </w:pPr>
      <w:r>
        <w:rPr>
          <w:sz w:val="28"/>
          <w:szCs w:val="28"/>
        </w:rPr>
      </w:r>
    </w:p>
    <w:p>
      <w:pPr>
        <w:pStyle w:val="ConsPlusNormal"/>
        <w:ind w:firstLine="709"/>
        <w:jc w:val="both"/>
        <w:rPr/>
      </w:pPr>
      <w:r>
        <w:rPr>
          <w:sz w:val="28"/>
          <w:szCs w:val="28"/>
        </w:rPr>
        <w:t>4. Главным распорядителям средств местного бюджета в соответствии с требованиями бюджетного законодательства Российской Федерации, Ставропольского края и муниципальных правовых актов обеспечить:</w:t>
      </w:r>
    </w:p>
    <w:p>
      <w:pPr>
        <w:pStyle w:val="ConsPlusNormal"/>
        <w:ind w:firstLine="709"/>
        <w:jc w:val="both"/>
        <w:rPr/>
      </w:pPr>
      <w:r>
        <w:rPr>
          <w:sz w:val="28"/>
          <w:szCs w:val="28"/>
        </w:rPr>
        <w:t>4.1. Контроль за утверждением бюджетных смет подведомственных муниципальных казенных учреждений Петровского городского округа Ставропольского края и планов финансово-хозяйственной деятельности подведомственных муниципальных бюджетных учреждений Петровского городского округа Ставропольского края (далее - бюджетные учреждения округа) в соответствии с доведенными лимитами бюджетных обязательств на 2019 год и плановый период 2020 и 2021 годов, а также своевременную корректировку бюджетных смет и планов финансово-хозяйственной деятельности в случае изменения лимитов бюджетных обязательств.</w:t>
      </w:r>
    </w:p>
    <w:p>
      <w:pPr>
        <w:pStyle w:val="ConsPlusNormal"/>
        <w:ind w:firstLine="709"/>
        <w:jc w:val="both"/>
        <w:rPr/>
      </w:pPr>
      <w:r>
        <w:rPr>
          <w:sz w:val="28"/>
          <w:szCs w:val="28"/>
        </w:rPr>
        <w:t>4.2. Контроль за выполнением муниципальными учреждениями Петровского городского округа Ставропольского края муниципального задания на оказание муниципальных услуг (выполнение работ) (далее – муниципальное задание) на 2019 год и плановый период 2020 и 2021 годов и соблюдением бюджетными учреждениями округа планов финансово-хозяйственной деятельности на 2019 год и плановый период 2020 и 2021 годов.</w:t>
      </w:r>
    </w:p>
    <w:p>
      <w:pPr>
        <w:pStyle w:val="ConsPlusNormal"/>
        <w:ind w:firstLine="709"/>
        <w:jc w:val="both"/>
        <w:rPr/>
      </w:pPr>
      <w:r>
        <w:rPr>
          <w:sz w:val="28"/>
          <w:szCs w:val="28"/>
        </w:rPr>
        <w:t>4.3. Контроль за возвратом в местный бюджет в срок до 01 марта 2019 года остатков субсидий, предоставленных в 2018 году бюджетным учреждениям округа на финансовое обеспечение выполнения муниципального задания, образовавшихся в связи с недостижением бюджетными учреждениями округа установленных муниципальным  заданием показателей, характеризующих объем оказания муниципальных услуг (выполнения работ), в объемах, соответствующих недостигнутым показателям муниципального задания (с учетом возможных (допустимых) отклонений).</w:t>
      </w:r>
    </w:p>
    <w:p>
      <w:pPr>
        <w:pStyle w:val="ConsPlusNormal"/>
        <w:ind w:firstLine="709"/>
        <w:jc w:val="both"/>
        <w:rPr/>
      </w:pPr>
      <w:r>
        <w:rPr>
          <w:sz w:val="28"/>
          <w:szCs w:val="28"/>
        </w:rPr>
        <w:t>4.4. Направление в срок не позднее 10 марта 2019 года в финансовое управление информации о возврате остатков субсидий, предоставленных в 2018 году бюджетным учреждениям округа на финансовое обеспечение выполнения муниципального задания, образовавшихся в связи с недостижением бюджетными учреждениями округа установленных муниципальным заданием показателей, характеризующих объем оказания муниципальных услуг (выполнения работ), в объемах, соответствующих недостигнутым показателям муниципального задания (с учетом возможных (допустимых) отклонений).</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4.5. Подготовку и своевременное размещение информации о деятельности подведомственных муниципальных учреждений   Петровского городского округа Ставропольского края на официальном сайте для   размещения информации о муниципальных и государственных   учреждениях в информационно-телекоммуникационной  сети «Интернет» (www.bus.gov.ru) в соответствии с пунктом 3.3 статьи 32 Федерального закона «О некоммерческих организациях».</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pPr>
      <w:r>
        <w:rPr>
          <w:sz w:val="28"/>
          <w:szCs w:val="28"/>
        </w:rPr>
        <w:t>5. Главным распорядителям средств местного бюджета и муниципальным учреждениям Петровского городского округа обеспечить строгий контроль за своевременной:</w:t>
      </w:r>
    </w:p>
    <w:p>
      <w:pPr>
        <w:pStyle w:val="ConsPlusNormal"/>
        <w:ind w:firstLine="709"/>
        <w:jc w:val="both"/>
        <w:rPr/>
      </w:pPr>
      <w:r>
        <w:rPr>
          <w:sz w:val="28"/>
          <w:szCs w:val="28"/>
        </w:rPr>
        <w:t>оплатой труда и начислений на выплаты по оплате труда работников муниципальных учреждений Петровского городского округа Ставропольского края;</w:t>
      </w:r>
    </w:p>
    <w:p>
      <w:pPr>
        <w:pStyle w:val="ConsPlusNormal"/>
        <w:ind w:firstLine="709"/>
        <w:jc w:val="both"/>
        <w:rPr>
          <w:sz w:val="28"/>
          <w:szCs w:val="28"/>
        </w:rPr>
      </w:pPr>
      <w:r>
        <w:rPr>
          <w:sz w:val="28"/>
          <w:szCs w:val="28"/>
        </w:rPr>
        <w:t>уплатой налогов, сборов и иных обязательных платежей;</w:t>
      </w:r>
    </w:p>
    <w:p>
      <w:pPr>
        <w:pStyle w:val="ConsPlusNormal"/>
        <w:ind w:firstLine="709"/>
        <w:jc w:val="both"/>
        <w:rPr/>
      </w:pPr>
      <w:r>
        <w:rPr>
          <w:sz w:val="28"/>
          <w:szCs w:val="28"/>
        </w:rPr>
        <w:t>оплатой муниципальными учреждениями Петровского городского округа Ставропольского края коммунальных услуг в объемах, соответствующих текущему потреблению;</w:t>
      </w:r>
    </w:p>
    <w:p>
      <w:pPr>
        <w:pStyle w:val="ConsPlusNormal"/>
        <w:ind w:firstLine="709"/>
        <w:jc w:val="both"/>
        <w:rPr>
          <w:sz w:val="28"/>
          <w:szCs w:val="28"/>
        </w:rPr>
      </w:pPr>
      <w:r>
        <w:rPr>
          <w:sz w:val="28"/>
          <w:szCs w:val="28"/>
        </w:rPr>
        <w:t>выплатой средств местного бюджета на исполнение публичных нормативных обязательств, в том числе мер социальной поддержки граждан.</w:t>
      </w:r>
    </w:p>
    <w:p>
      <w:pPr>
        <w:pStyle w:val="ConsPlusNormal"/>
        <w:ind w:firstLine="709"/>
        <w:jc w:val="both"/>
        <w:rPr>
          <w:sz w:val="28"/>
          <w:szCs w:val="28"/>
        </w:rPr>
      </w:pPr>
      <w:r>
        <w:rPr>
          <w:sz w:val="28"/>
          <w:szCs w:val="28"/>
        </w:rPr>
      </w:r>
    </w:p>
    <w:p>
      <w:pPr>
        <w:pStyle w:val="ConsPlusNormal"/>
        <w:ind w:firstLine="709"/>
        <w:jc w:val="both"/>
        <w:rPr/>
      </w:pPr>
      <w:r>
        <w:rPr>
          <w:sz w:val="28"/>
          <w:szCs w:val="28"/>
        </w:rPr>
        <w:t>6. Главным распорядителям средств местного бюджета в соответствии с утвержденными бюджетными ассигнованиями местного бюджета:</w:t>
      </w:r>
    </w:p>
    <w:p>
      <w:pPr>
        <w:pStyle w:val="ConsPlusNormal"/>
        <w:ind w:firstLine="709"/>
        <w:jc w:val="both"/>
        <w:rPr/>
      </w:pPr>
      <w:r>
        <w:rPr>
          <w:sz w:val="28"/>
          <w:szCs w:val="28"/>
        </w:rPr>
        <w:t>6.1. Предоставлять субсидии получателям субсидий при условии заключения договора (соглашения) о предоставлении субсидии между главным распорядителем бюджетных средств и получателем субсидии в соответствии с типовой формой, утвержденной приказом финансового управления.</w:t>
      </w:r>
    </w:p>
    <w:p>
      <w:pPr>
        <w:pStyle w:val="ConsPlusNormal"/>
        <w:ind w:firstLine="709"/>
        <w:jc w:val="both"/>
        <w:rPr/>
      </w:pPr>
      <w:r>
        <w:rPr>
          <w:sz w:val="28"/>
          <w:szCs w:val="28"/>
        </w:rPr>
        <w:t>6.2. Обеспечить контроль за:</w:t>
      </w:r>
    </w:p>
    <w:p>
      <w:pPr>
        <w:pStyle w:val="ConsPlusNormal"/>
        <w:ind w:firstLine="709"/>
        <w:jc w:val="both"/>
        <w:rPr>
          <w:sz w:val="28"/>
          <w:szCs w:val="28"/>
        </w:rPr>
      </w:pPr>
      <w:r>
        <w:rPr>
          <w:sz w:val="28"/>
          <w:szCs w:val="28"/>
        </w:rPr>
        <w:t>соблюдением получателями субсидий условий, целей и порядка предоставления субсидий;</w:t>
      </w:r>
    </w:p>
    <w:p>
      <w:pPr>
        <w:pStyle w:val="ConsPlusNormal"/>
        <w:ind w:firstLine="709"/>
        <w:jc w:val="both"/>
        <w:rPr>
          <w:sz w:val="28"/>
          <w:szCs w:val="28"/>
        </w:rPr>
      </w:pPr>
      <w:r>
        <w:rPr>
          <w:sz w:val="28"/>
          <w:szCs w:val="28"/>
        </w:rPr>
        <w:t>представлением получателями субсидий отчетности об осуществлении расходов, источником финансового обеспечения которых являются субсидии, и о достижении показателей результативности использования субсидий.</w:t>
      </w:r>
    </w:p>
    <w:p>
      <w:pPr>
        <w:pStyle w:val="ConsPlusNormal"/>
        <w:ind w:firstLine="709"/>
        <w:jc w:val="both"/>
        <w:rPr>
          <w:sz w:val="28"/>
          <w:szCs w:val="28"/>
        </w:rPr>
      </w:pPr>
      <w:r>
        <w:rPr>
          <w:sz w:val="28"/>
          <w:szCs w:val="28"/>
        </w:rPr>
      </w:r>
    </w:p>
    <w:p>
      <w:pPr>
        <w:pStyle w:val="ConsPlusNormal"/>
        <w:ind w:firstLine="709"/>
        <w:jc w:val="both"/>
        <w:rPr/>
      </w:pPr>
      <w:bookmarkStart w:id="0" w:name="P60"/>
      <w:bookmarkStart w:id="1" w:name="P57"/>
      <w:bookmarkStart w:id="2" w:name="P56"/>
      <w:bookmarkEnd w:id="0"/>
      <w:bookmarkEnd w:id="1"/>
      <w:bookmarkEnd w:id="2"/>
      <w:r>
        <w:rPr>
          <w:sz w:val="28"/>
          <w:szCs w:val="28"/>
        </w:rPr>
        <w:t>7. Установить, что:</w:t>
      </w:r>
    </w:p>
    <w:p>
      <w:pPr>
        <w:pStyle w:val="ConsPlusNormal"/>
        <w:ind w:firstLine="709"/>
        <w:jc w:val="both"/>
        <w:rPr/>
      </w:pPr>
      <w:r>
        <w:rPr>
          <w:sz w:val="28"/>
          <w:szCs w:val="28"/>
        </w:rPr>
        <w:t>7.1. Муниципальные контракты на поставку товаров, выполнение работ, оказание услуг для обеспечения муниципальных нужд Петровского городского округа Ставропольского края (далее – муниципальный контракт), подлежавшие в соответствии с условиями муниципальных контрактов оплате в 2018 году, но не исполненные на начало 2019 года, подлежат оплате в первоочередном порядке в пределах лимитов бюджетных обязательств, утвержденных главному распорядителю средств местного бюджета на 2019 год.</w:t>
      </w:r>
    </w:p>
    <w:p>
      <w:pPr>
        <w:pStyle w:val="ConsPlusNormal"/>
        <w:ind w:firstLine="709"/>
        <w:jc w:val="both"/>
        <w:rPr/>
      </w:pPr>
      <w:bookmarkStart w:id="3" w:name="P64"/>
      <w:bookmarkEnd w:id="3"/>
      <w:r>
        <w:rPr>
          <w:sz w:val="28"/>
          <w:szCs w:val="28"/>
        </w:rPr>
        <w:t>7.2. Получатели средств местного бюджета при заключении муниципальных контрактов в пределах доведенных им в установленном порядке соответствующих лимитов бюджетных обязательств на 2019 год и плановый период 2020 и 2021 годов вправе предусматривать авансовые платежи:</w:t>
      </w:r>
    </w:p>
    <w:p>
      <w:pPr>
        <w:pStyle w:val="ConsPlusNormal"/>
        <w:ind w:firstLine="709"/>
        <w:jc w:val="both"/>
        <w:rPr/>
      </w:pPr>
      <w:bookmarkStart w:id="4" w:name="P65"/>
      <w:bookmarkEnd w:id="4"/>
      <w:r>
        <w:rPr>
          <w:sz w:val="28"/>
          <w:szCs w:val="28"/>
        </w:rPr>
        <w:t>7.2.1. В размере до 100 процентов суммы муниципального контракта, но не более лимитов бюджетных обязательств, доведенных на соответствующий финансовый год по соответствующему коду бюджетной классификации, по муниципальным контрактам:</w:t>
      </w:r>
    </w:p>
    <w:p>
      <w:pPr>
        <w:pStyle w:val="Normal"/>
        <w:numPr>
          <w:ilvl w:val="0"/>
          <w:numId w:val="0"/>
        </w:numPr>
        <w:autoSpaceDE w:val="false"/>
        <w:spacing w:lineRule="auto" w:line="240" w:before="0" w:after="0"/>
        <w:ind w:firstLine="709"/>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t>об оказании услуг связи;</w:t>
      </w:r>
    </w:p>
    <w:p>
      <w:pPr>
        <w:pStyle w:val="Normal"/>
        <w:numPr>
          <w:ilvl w:val="0"/>
          <w:numId w:val="0"/>
        </w:numPr>
        <w:autoSpaceDE w:val="false"/>
        <w:spacing w:lineRule="auto" w:line="240" w:before="0" w:after="0"/>
        <w:ind w:firstLine="709"/>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t>о подписке на периодические печатные издания и об их приобретении;</w:t>
      </w:r>
    </w:p>
    <w:p>
      <w:pPr>
        <w:pStyle w:val="Normal"/>
        <w:numPr>
          <w:ilvl w:val="0"/>
          <w:numId w:val="0"/>
        </w:numPr>
        <w:autoSpaceDE w:val="false"/>
        <w:spacing w:lineRule="auto" w:line="240" w:before="0" w:after="0"/>
        <w:ind w:firstLine="709"/>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t>об обучении на курсах повышения квалификации;</w:t>
      </w:r>
    </w:p>
    <w:p>
      <w:pPr>
        <w:pStyle w:val="Normal"/>
        <w:numPr>
          <w:ilvl w:val="0"/>
          <w:numId w:val="0"/>
        </w:numPr>
        <w:autoSpaceDE w:val="false"/>
        <w:spacing w:lineRule="auto" w:line="240" w:before="0" w:after="0"/>
        <w:ind w:firstLine="709"/>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t>об организации, проведении и участии в конференциях, семинарах, совещаниях, конкурсах, слетах;</w:t>
      </w:r>
    </w:p>
    <w:p>
      <w:pPr>
        <w:pStyle w:val="Normal"/>
        <w:numPr>
          <w:ilvl w:val="0"/>
          <w:numId w:val="0"/>
        </w:numPr>
        <w:autoSpaceDE w:val="false"/>
        <w:spacing w:lineRule="auto" w:line="240" w:before="0" w:after="0"/>
        <w:ind w:firstLine="709"/>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t>о приобретении авиа - и железнодорожных билетов, билетов для проезда городским и пригородным транспортом;</w:t>
      </w:r>
    </w:p>
    <w:p>
      <w:pPr>
        <w:pStyle w:val="ConsPlusNormal"/>
        <w:ind w:firstLine="709"/>
        <w:jc w:val="both"/>
        <w:rPr>
          <w:sz w:val="28"/>
          <w:szCs w:val="28"/>
        </w:rPr>
      </w:pPr>
      <w:r>
        <w:rPr>
          <w:sz w:val="28"/>
          <w:szCs w:val="28"/>
        </w:rPr>
        <w:t>об оказании услуг по отдыху, оздоровлению и санаторно-курортному лечению детей по путевкам в организации отдыха детей и их оздоровления;</w:t>
      </w:r>
      <w:bookmarkStart w:id="5" w:name="_GoBack"/>
      <w:bookmarkEnd w:id="5"/>
    </w:p>
    <w:p>
      <w:pPr>
        <w:pStyle w:val="Normal"/>
        <w:numPr>
          <w:ilvl w:val="0"/>
          <w:numId w:val="0"/>
        </w:numPr>
        <w:autoSpaceDE w:val="false"/>
        <w:spacing w:lineRule="auto" w:line="240" w:before="0" w:after="0"/>
        <w:ind w:firstLine="709"/>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t>об обязательном страховании гражданской ответственности владельцев транспортных средств;</w:t>
      </w:r>
    </w:p>
    <w:p>
      <w:pPr>
        <w:pStyle w:val="Normal"/>
        <w:numPr>
          <w:ilvl w:val="0"/>
          <w:numId w:val="0"/>
        </w:numPr>
        <w:autoSpaceDE w:val="false"/>
        <w:spacing w:lineRule="auto" w:line="240" w:before="0" w:after="0"/>
        <w:ind w:firstLine="709"/>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t>на оказание услуг по организации (обеспечению) участия делегаций (представителей) Петровского городского округа Ставропольского края в мероприятиях общероссийского, межрегионального и краевого значения;</w:t>
      </w:r>
    </w:p>
    <w:p>
      <w:pPr>
        <w:pStyle w:val="Normal"/>
        <w:numPr>
          <w:ilvl w:val="0"/>
          <w:numId w:val="0"/>
        </w:numPr>
        <w:autoSpaceDE w:val="false"/>
        <w:spacing w:lineRule="auto" w:line="240" w:before="0" w:after="0"/>
        <w:ind w:firstLine="709"/>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t>об оказании услуг по проживанию в гостиницах;</w:t>
      </w:r>
    </w:p>
    <w:p>
      <w:pPr>
        <w:pStyle w:val="Normal"/>
        <w:numPr>
          <w:ilvl w:val="0"/>
          <w:numId w:val="0"/>
        </w:numPr>
        <w:autoSpaceDE w:val="false"/>
        <w:spacing w:lineRule="auto" w:line="240" w:before="0" w:after="0"/>
        <w:ind w:firstLine="709"/>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t>на проживание и питание участников культурно-спортивных мероприятий;</w:t>
      </w:r>
    </w:p>
    <w:p>
      <w:pPr>
        <w:pStyle w:val="Normal"/>
        <w:numPr>
          <w:ilvl w:val="0"/>
          <w:numId w:val="0"/>
        </w:numPr>
        <w:autoSpaceDE w:val="false"/>
        <w:spacing w:lineRule="auto" w:line="240" w:before="0" w:after="0"/>
        <w:ind w:firstLine="709"/>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t>о проведении технического осмотра автотранспорта;</w:t>
      </w:r>
    </w:p>
    <w:p>
      <w:pPr>
        <w:pStyle w:val="Normal"/>
        <w:numPr>
          <w:ilvl w:val="0"/>
          <w:numId w:val="0"/>
        </w:numPr>
        <w:autoSpaceDE w:val="false"/>
        <w:spacing w:lineRule="auto" w:line="240" w:before="0" w:after="0"/>
        <w:ind w:firstLine="709"/>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t>о проведении государственной экспертизы проектной документации и результатов инженерных изысканий;</w:t>
      </w:r>
    </w:p>
    <w:p>
      <w:pPr>
        <w:pStyle w:val="Normal"/>
        <w:numPr>
          <w:ilvl w:val="0"/>
          <w:numId w:val="0"/>
        </w:numPr>
        <w:autoSpaceDE w:val="false"/>
        <w:spacing w:lineRule="auto" w:line="240" w:before="0" w:after="0"/>
        <w:ind w:firstLine="709"/>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t>об услугах кредитных организаций по зачислению денежных средств на лицевые счета работников (служащих), открытые в кредитных учреждениях;</w:t>
      </w:r>
    </w:p>
    <w:p>
      <w:pPr>
        <w:pStyle w:val="Normal"/>
        <w:numPr>
          <w:ilvl w:val="0"/>
          <w:numId w:val="0"/>
        </w:numPr>
        <w:autoSpaceDE w:val="false"/>
        <w:spacing w:lineRule="auto" w:line="240" w:before="0" w:after="0"/>
        <w:ind w:firstLine="709"/>
        <w:jc w:val="both"/>
        <w:outlineLvl w:val="0"/>
        <w:rPr>
          <w:rFonts w:ascii="Times New Roman" w:hAnsi="Times New Roman" w:cs="Times New Roman"/>
          <w:sz w:val="28"/>
          <w:szCs w:val="28"/>
          <w:lang w:eastAsia="ru-RU"/>
        </w:rPr>
      </w:pPr>
      <w:r>
        <w:rPr>
          <w:rFonts w:cs="Times New Roman" w:ascii="Times New Roman" w:hAnsi="Times New Roman"/>
          <w:sz w:val="28"/>
          <w:szCs w:val="28"/>
          <w:lang w:eastAsia="ru-RU"/>
        </w:rPr>
        <w:t>на оказание услуг по пользованию на платной основе парковками (парковочными местами).</w:t>
      </w:r>
    </w:p>
    <w:p>
      <w:pPr>
        <w:pStyle w:val="ConsPlusNormal"/>
        <w:ind w:firstLine="709"/>
        <w:jc w:val="both"/>
        <w:rPr>
          <w:sz w:val="28"/>
          <w:szCs w:val="28"/>
        </w:rPr>
      </w:pPr>
      <w:r>
        <w:rPr>
          <w:sz w:val="28"/>
          <w:szCs w:val="28"/>
        </w:rPr>
        <w:t>7.2.2. В размере до 30 процентов суммы муниципального контракта, но не более 30 процентов лимитов бюджетных обязательств, доведенных на соответствующий финансовый год по соответствующему коду бюджетной классификации, по муниципальным контрактам (за исключением муниципальных контрактов, указанных в подпункте 7.2.1 настоящего постановления), если иное не предусмотрено законодательством Российской Федерации.</w:t>
      </w:r>
    </w:p>
    <w:p>
      <w:pPr>
        <w:pStyle w:val="ConsPlusNonformat"/>
        <w:ind w:firstLine="709"/>
        <w:jc w:val="both"/>
        <w:rPr/>
      </w:pPr>
      <w:bookmarkStart w:id="6" w:name="P89"/>
      <w:bookmarkEnd w:id="6"/>
      <w:r>
        <w:rPr>
          <w:rFonts w:cs="Times New Roman" w:ascii="Times New Roman" w:hAnsi="Times New Roman"/>
          <w:sz w:val="28"/>
          <w:szCs w:val="28"/>
        </w:rPr>
        <w:t xml:space="preserve">7.3. Предоставление из местного бюджета предусмотренных </w:t>
      </w:r>
      <w:hyperlink r:id="rId2">
        <w:r>
          <w:rPr>
            <w:rStyle w:val="-"/>
            <w:rFonts w:cs="Times New Roman" w:ascii="Times New Roman" w:hAnsi="Times New Roman"/>
            <w:sz w:val="28"/>
            <w:szCs w:val="28"/>
          </w:rPr>
          <w:t>статьями 78</w:t>
        </w:r>
      </w:hyperlink>
      <w:r>
        <w:rPr>
          <w:rFonts w:cs="Times New Roman" w:ascii="Times New Roman" w:hAnsi="Times New Roman"/>
          <w:sz w:val="28"/>
          <w:szCs w:val="28"/>
        </w:rPr>
        <w:t xml:space="preserve">, </w:t>
      </w:r>
      <w:hyperlink r:id="rId3">
        <w:r>
          <w:rPr>
            <w:rStyle w:val="-"/>
            <w:rFonts w:cs="Times New Roman" w:ascii="Times New Roman" w:hAnsi="Times New Roman"/>
            <w:sz w:val="28"/>
            <w:szCs w:val="28"/>
          </w:rPr>
          <w:t>78</w:t>
        </w:r>
      </w:hyperlink>
      <w:r>
        <w:rPr>
          <w:rFonts w:cs="Times New Roman" w:ascii="Times New Roman" w:hAnsi="Times New Roman"/>
          <w:sz w:val="28"/>
          <w:szCs w:val="28"/>
        </w:rPr>
        <w:t xml:space="preserve">.1 и </w:t>
      </w:r>
      <w:hyperlink r:id="rId4">
        <w:r>
          <w:rPr>
            <w:rStyle w:val="-"/>
            <w:rFonts w:cs="Times New Roman" w:ascii="Times New Roman" w:hAnsi="Times New Roman"/>
            <w:sz w:val="28"/>
            <w:szCs w:val="28"/>
          </w:rPr>
          <w:t>80</w:t>
        </w:r>
      </w:hyperlink>
      <w:r>
        <w:rPr>
          <w:rFonts w:cs="Times New Roman" w:ascii="Times New Roman" w:hAnsi="Times New Roman"/>
          <w:sz w:val="28"/>
          <w:szCs w:val="28"/>
        </w:rPr>
        <w:t xml:space="preserve"> Бюджетного кодекса Российской Федерации субсидий и бюджетных инвестиций осуществляется при условии отсутствия у их  получателей просроченной (неурегулированной) задолженности по денежным обязательствам перед Петровским городским округом Ставропольским краем (за исключением случаев, установленных </w:t>
      </w:r>
      <w:hyperlink w:anchor="P96">
        <w:r>
          <w:rPr>
            <w:rStyle w:val="-"/>
            <w:rFonts w:cs="Times New Roman" w:ascii="Times New Roman" w:hAnsi="Times New Roman"/>
            <w:sz w:val="28"/>
            <w:szCs w:val="28"/>
          </w:rPr>
          <w:t xml:space="preserve">подпунктом 7.4 </w:t>
        </w:r>
      </w:hyperlink>
      <w:r>
        <w:rPr>
          <w:rFonts w:cs="Times New Roman" w:ascii="Times New Roman" w:hAnsi="Times New Roman"/>
          <w:sz w:val="28"/>
          <w:szCs w:val="28"/>
        </w:rPr>
        <w:t>настоящего постановления).</w:t>
      </w:r>
    </w:p>
    <w:p>
      <w:pPr>
        <w:pStyle w:val="ConsPlusNormal"/>
        <w:ind w:firstLine="709"/>
        <w:jc w:val="both"/>
        <w:rPr>
          <w:sz w:val="28"/>
          <w:szCs w:val="28"/>
        </w:rPr>
      </w:pPr>
      <w:bookmarkStart w:id="7" w:name="P96"/>
      <w:bookmarkEnd w:id="7"/>
      <w:r>
        <w:rPr>
          <w:sz w:val="28"/>
          <w:szCs w:val="28"/>
        </w:rPr>
        <w:t xml:space="preserve">7.4. Требование об отсутствии задолженности, указанной в </w:t>
      </w:r>
      <w:hyperlink w:anchor="P89">
        <w:r>
          <w:rPr>
            <w:rStyle w:val="-"/>
            <w:sz w:val="28"/>
            <w:szCs w:val="28"/>
          </w:rPr>
          <w:t xml:space="preserve">подпункте 7.3 </w:t>
        </w:r>
      </w:hyperlink>
      <w:r>
        <w:rPr>
          <w:sz w:val="28"/>
          <w:szCs w:val="28"/>
        </w:rPr>
        <w:t>настоящего постановления, не применяется при предоставлении субсидий бюджетным учреждениям округа,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а также в иных случаях, установленных правовым актом администрации Петровского городского округа Ставропольского края.</w:t>
      </w:r>
    </w:p>
    <w:p>
      <w:pPr>
        <w:pStyle w:val="ConsPlusNormal"/>
        <w:ind w:firstLine="709"/>
        <w:jc w:val="both"/>
        <w:rPr>
          <w:sz w:val="28"/>
          <w:szCs w:val="28"/>
        </w:rPr>
      </w:pPr>
      <w:r>
        <w:rPr>
          <w:sz w:val="28"/>
          <w:szCs w:val="28"/>
        </w:rPr>
      </w:r>
    </w:p>
    <w:p>
      <w:pPr>
        <w:pStyle w:val="ConsPlusNormal"/>
        <w:ind w:firstLine="709"/>
        <w:jc w:val="both"/>
        <w:rPr>
          <w:sz w:val="28"/>
          <w:szCs w:val="28"/>
        </w:rPr>
      </w:pPr>
      <w:r>
        <w:rPr>
          <w:sz w:val="28"/>
          <w:szCs w:val="28"/>
        </w:rPr>
        <w:t>8. В целях реализации пункта 24 Решения о местном бюджете финансовому управлению осуществлять ежеквартальный мониторинг численности муниципальных служащих и работников муниципальных учреждений Петровского городского округа Ставропольского края и фактических затрат на их денежное содержание, а также расходов на содержание органов местного самоуправления Петровского городского округа Ставропольского края и муниципальных учреждений Петровского городского округа Ставропольского края по формам и в порядке, устанавливаемым министерством финансов Ставропольского края.</w:t>
      </w:r>
    </w:p>
    <w:p>
      <w:pPr>
        <w:pStyle w:val="ConsPlusNormal"/>
        <w:ind w:firstLine="709"/>
        <w:jc w:val="both"/>
        <w:rPr>
          <w:sz w:val="28"/>
          <w:szCs w:val="28"/>
        </w:rPr>
      </w:pPr>
      <w:r>
        <w:rPr>
          <w:sz w:val="28"/>
          <w:szCs w:val="28"/>
        </w:rPr>
      </w:r>
    </w:p>
    <w:p>
      <w:pPr>
        <w:pStyle w:val="Normal"/>
        <w:numPr>
          <w:ilvl w:val="0"/>
          <w:numId w:val="0"/>
        </w:numPr>
        <w:autoSpaceDE w:val="false"/>
        <w:spacing w:lineRule="auto" w:line="240" w:before="0" w:after="0"/>
        <w:ind w:firstLine="709"/>
        <w:jc w:val="both"/>
        <w:outlineLvl w:val="0"/>
        <w:rPr/>
      </w:pPr>
      <w:r>
        <w:rPr>
          <w:rFonts w:cs="Times New Roman" w:ascii="Times New Roman" w:hAnsi="Times New Roman"/>
          <w:sz w:val="28"/>
          <w:szCs w:val="28"/>
          <w:lang w:eastAsia="ru-RU"/>
        </w:rPr>
        <w:t>9.</w:t>
      </w:r>
      <w:r>
        <w:rPr>
          <w:rFonts w:cs="Times New Roman" w:ascii="Times New Roman" w:hAnsi="Times New Roman"/>
          <w:sz w:val="24"/>
          <w:szCs w:val="24"/>
          <w:lang w:eastAsia="ru-RU"/>
        </w:rPr>
        <w:t xml:space="preserve"> </w:t>
      </w:r>
      <w:r>
        <w:rPr>
          <w:rFonts w:cs="Times New Roman" w:ascii="Times New Roman" w:hAnsi="Times New Roman"/>
          <w:sz w:val="28"/>
          <w:szCs w:val="28"/>
          <w:lang w:eastAsia="ru-RU"/>
        </w:rPr>
        <w:t>Главным распорядителям средств местного бюджета и муниципальным учреждениям Петровского городского округа Ставропольского края представлять в финансовое управление информацию о выполнении настоящего постановления одновременно с бюджетной отчетностью за первое полугодие 2019 года, 9 месяцев 2019 года и за 2019 год.</w:t>
      </w:r>
    </w:p>
    <w:p>
      <w:pPr>
        <w:pStyle w:val="Normal"/>
        <w:shd w:fill="FFFFFF" w:val="clear"/>
        <w:tabs>
          <w:tab w:val="clear" w:pos="708"/>
          <w:tab w:val="left" w:pos="426" w:leader="none"/>
          <w:tab w:val="left" w:pos="900" w:leader="none"/>
        </w:tabs>
        <w:spacing w:lineRule="auto" w:line="240" w:before="0" w:after="0"/>
        <w:ind w:right="-5"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10. Контроль за выполнением настоящего постановления возложить на первого заместителя главы администрации - начальника финансового управления администрации Петровского городского округа Ставропольского края Сухомлинову В.П.</w:t>
      </w:r>
    </w:p>
    <w:p>
      <w:pPr>
        <w:pStyle w:val="Normal"/>
        <w:shd w:fill="FFFFFF" w:val="clear"/>
        <w:tabs>
          <w:tab w:val="clear" w:pos="708"/>
          <w:tab w:val="left" w:pos="426" w:leader="none"/>
          <w:tab w:val="left" w:pos="900" w:leader="none"/>
        </w:tabs>
        <w:spacing w:lineRule="auto" w:line="240" w:before="0" w:after="0"/>
        <w:ind w:right="-5"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spacing w:lineRule="auto" w:line="240" w:before="0" w:after="0"/>
        <w:ind w:firstLine="709"/>
        <w:jc w:val="both"/>
        <w:rPr/>
      </w:pPr>
      <w:r>
        <w:rPr>
          <w:rFonts w:cs="Times New Roman" w:ascii="Times New Roman" w:hAnsi="Times New Roman"/>
          <w:sz w:val="28"/>
          <w:szCs w:val="28"/>
          <w:lang w:eastAsia="ru-RU"/>
        </w:rPr>
        <w:t>11. Настоящее постановление вступает в силу со дня его подписания и распространяется на правоотношения, возникшие с 01 января 2019 года.</w:t>
      </w:r>
    </w:p>
    <w:p>
      <w:pPr>
        <w:pStyle w:val="Normal"/>
        <w:numPr>
          <w:ilvl w:val="0"/>
          <w:numId w:val="0"/>
        </w:numPr>
        <w:autoSpaceDE w:val="false"/>
        <w:spacing w:lineRule="auto" w:line="240" w:before="0" w:after="0"/>
        <w:ind w:firstLine="540"/>
        <w:jc w:val="both"/>
        <w:outlineLvl w:val="0"/>
        <w:rPr>
          <w:rFonts w:ascii="Times New Roman" w:hAnsi="Times New Roman" w:cs="Times New Roman"/>
          <w:sz w:val="28"/>
          <w:szCs w:val="28"/>
          <w:highlight w:val="yellow"/>
          <w:lang w:eastAsia="ru-RU"/>
        </w:rPr>
      </w:pPr>
      <w:r>
        <w:rPr>
          <w:rFonts w:cs="Times New Roman" w:ascii="Times New Roman" w:hAnsi="Times New Roman"/>
          <w:sz w:val="28"/>
          <w:szCs w:val="28"/>
          <w:highlight w:val="yellow"/>
          <w:lang w:eastAsia="ru-RU"/>
        </w:rPr>
      </w:r>
    </w:p>
    <w:p>
      <w:pPr>
        <w:pStyle w:val="Normal"/>
        <w:numPr>
          <w:ilvl w:val="0"/>
          <w:numId w:val="0"/>
        </w:numPr>
        <w:autoSpaceDE w:val="false"/>
        <w:spacing w:lineRule="exact" w:line="240" w:before="0" w:after="0"/>
        <w:ind w:firstLine="540"/>
        <w:jc w:val="both"/>
        <w:outlineLvl w:val="0"/>
        <w:rPr>
          <w:rFonts w:ascii="Times New Roman" w:hAnsi="Times New Roman" w:cs="Times New Roman"/>
          <w:sz w:val="28"/>
          <w:szCs w:val="28"/>
          <w:highlight w:val="yellow"/>
          <w:lang w:eastAsia="ru-RU"/>
        </w:rPr>
      </w:pPr>
      <w:r>
        <w:rPr>
          <w:rFonts w:cs="Times New Roman" w:ascii="Times New Roman" w:hAnsi="Times New Roman"/>
          <w:sz w:val="28"/>
          <w:szCs w:val="28"/>
          <w:highlight w:val="yellow"/>
          <w:lang w:eastAsia="ru-RU"/>
        </w:rPr>
      </w:r>
    </w:p>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t xml:space="preserve">Глава Петровского </w:t>
      </w:r>
    </w:p>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t>городского округа</w:t>
      </w:r>
    </w:p>
    <w:p>
      <w:pPr>
        <w:pStyle w:val="Normal"/>
        <w:spacing w:lineRule="exact" w:line="240" w:before="0" w:after="0"/>
        <w:jc w:val="both"/>
        <w:rPr/>
      </w:pPr>
      <w:r>
        <w:rPr>
          <w:rFonts w:cs="Times New Roman" w:ascii="Times New Roman" w:hAnsi="Times New Roman"/>
          <w:sz w:val="28"/>
          <w:szCs w:val="28"/>
        </w:rPr>
        <w:t>Ставропольского края                                                                    A.A.Захарченко</w:t>
      </w:r>
    </w:p>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hd w:fill="FFFFFF" w:val="clear"/>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hd w:fill="FFFFFF" w:val="clear"/>
        <w:spacing w:lineRule="exact" w:line="240" w:before="0" w:after="0"/>
        <w:jc w:val="both"/>
        <w:rPr>
          <w:rFonts w:eastAsia="Times New Roman"/>
        </w:rPr>
      </w:pPr>
      <w:r>
        <w:rPr>
          <w:rFonts w:cs="Times New Roman" w:ascii="Times New Roman" w:hAnsi="Times New Roman"/>
          <w:color w:val="FFFFFF"/>
          <w:sz w:val="28"/>
          <w:szCs w:val="28"/>
        </w:rPr>
      </w:r>
    </w:p>
    <w:sectPr>
      <w:type w:val="nextPage"/>
      <w:pgSz w:w="11906" w:h="16838"/>
      <w:pgMar w:left="1985" w:right="567" w:gutter="0" w:header="0" w:top="1418"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cc"/>
    <w:family w:val="swiss"/>
    <w:pitch w:val="variable"/>
  </w:font>
  <w:font w:name="Times New Roman">
    <w:charset w:val="cc"/>
    <w:family w:val="roman"/>
    <w:pitch w:val="variable"/>
  </w:font>
  <w:font w:name="Courier New">
    <w:charset w:val="cc"/>
    <w:family w:val="modern"/>
    <w:pitch w:val="default"/>
  </w:font>
  <w:font w:name="Tahoma">
    <w:charset w:val="cc"/>
    <w:family w:val="swiss"/>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roid Sans Devanagari"/>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Times New Roman" w:cs="Calibri"/>
      <w:color w:val="auto"/>
      <w:sz w:val="22"/>
      <w:szCs w:val="22"/>
      <w:lang w:val="ru-RU" w:bidi="ar-SA" w:eastAsia="zh-CN"/>
    </w:rPr>
  </w:style>
  <w:style w:type="character" w:styleId="Style14">
    <w:name w:val="Основной шрифт абзаца"/>
    <w:qFormat/>
    <w:rPr/>
  </w:style>
  <w:style w:type="character" w:styleId="Style15">
    <w:name w:val="Название Знак"/>
    <w:basedOn w:val="Style14"/>
    <w:qFormat/>
    <w:rPr>
      <w:rFonts w:ascii="Calibri" w:hAnsi="Calibri" w:cs="Calibri"/>
      <w:b/>
      <w:bCs/>
      <w:sz w:val="32"/>
      <w:szCs w:val="32"/>
      <w:lang w:val="ru-RU" w:bidi="ar-SA"/>
    </w:rPr>
  </w:style>
  <w:style w:type="character" w:styleId="-">
    <w:name w:val="Hyperlink"/>
    <w:rPr>
      <w:color w:val="000080"/>
      <w:u w:val="single"/>
    </w:rPr>
  </w:style>
  <w:style w:type="paragraph" w:styleId="Style16">
    <w:name w:val="Заголовок"/>
    <w:basedOn w:val="Normal"/>
    <w:next w:val="Style17"/>
    <w:qFormat/>
    <w:pPr>
      <w:spacing w:lineRule="auto" w:line="240" w:before="0" w:after="0"/>
      <w:jc w:val="center"/>
    </w:pPr>
    <w:rPr>
      <w:b/>
      <w:bCs/>
      <w:sz w:val="32"/>
      <w:szCs w:val="32"/>
    </w:rPr>
  </w:style>
  <w:style w:type="paragraph" w:styleId="Style17">
    <w:name w:val="Body Text"/>
    <w:basedOn w:val="Normal"/>
    <w:pPr>
      <w:spacing w:lineRule="auto" w:line="276" w:before="0" w:after="140"/>
    </w:pPr>
    <w:rPr/>
  </w:style>
  <w:style w:type="paragraph" w:styleId="Style18">
    <w:name w:val="List"/>
    <w:basedOn w:val="Style17"/>
    <w:pPr/>
    <w:rPr>
      <w:rFonts w:cs="Droid Sans Devanagari"/>
    </w:rPr>
  </w:style>
  <w:style w:type="paragraph" w:styleId="Style19">
    <w:name w:val="Caption"/>
    <w:basedOn w:val="Normal"/>
    <w:qFormat/>
    <w:pPr>
      <w:suppressLineNumbers/>
      <w:spacing w:before="120" w:after="120"/>
    </w:pPr>
    <w:rPr>
      <w:rFonts w:cs="Droid Sans Devanagari"/>
      <w:i/>
      <w:iCs/>
      <w:sz w:val="24"/>
      <w:szCs w:val="24"/>
    </w:rPr>
  </w:style>
  <w:style w:type="paragraph" w:styleId="Style20">
    <w:name w:val="Указатель"/>
    <w:basedOn w:val="Normal"/>
    <w:qFormat/>
    <w:pPr>
      <w:suppressLineNumbers/>
    </w:pPr>
    <w:rPr>
      <w:rFonts w:cs="Droid Sans Devanagari"/>
    </w:rPr>
  </w:style>
  <w:style w:type="paragraph" w:styleId="ConsPlusNormal">
    <w:name w:val="ConsPlusNormal"/>
    <w:qFormat/>
    <w:pPr>
      <w:widowControl w:val="false"/>
      <w:autoSpaceDE w:val="false"/>
      <w:bidi w:val="0"/>
    </w:pPr>
    <w:rPr>
      <w:rFonts w:ascii="Times New Roman" w:hAnsi="Times New Roman" w:eastAsia="Times New Roman" w:cs="Times New Roman"/>
      <w:color w:val="auto"/>
      <w:sz w:val="24"/>
      <w:szCs w:val="20"/>
      <w:lang w:val="ru-RU" w:bidi="ar-SA" w:eastAsia="zh-CN"/>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ConsPlusTitle">
    <w:name w:val="ConsPlusTitle"/>
    <w:qFormat/>
    <w:pPr>
      <w:widowControl w:val="false"/>
      <w:autoSpaceDE w:val="false"/>
      <w:bidi w:val="0"/>
    </w:pPr>
    <w:rPr>
      <w:rFonts w:ascii="Times New Roman" w:hAnsi="Times New Roman" w:eastAsia="Times New Roman" w:cs="Times New Roman"/>
      <w:b/>
      <w:color w:val="auto"/>
      <w:sz w:val="24"/>
      <w:szCs w:val="20"/>
      <w:lang w:val="ru-RU" w:bidi="ar-SA" w:eastAsia="zh-CN"/>
    </w:rPr>
  </w:style>
  <w:style w:type="paragraph" w:styleId="ConsPlusTitlePage">
    <w:name w:val="ConsPlusTitlePage"/>
    <w:qFormat/>
    <w:pPr>
      <w:widowControl w:val="false"/>
      <w:autoSpaceDE w:val="false"/>
      <w:bidi w:val="0"/>
    </w:pPr>
    <w:rPr>
      <w:rFonts w:ascii="Tahoma" w:hAnsi="Tahoma" w:eastAsia="Times New Roman" w:cs="Tahoma"/>
      <w:color w:val="auto"/>
      <w:sz w:val="20"/>
      <w:szCs w:val="20"/>
      <w:lang w:val="ru-RU" w:bidi="ar-SA" w:eastAsia="zh-CN"/>
    </w:rPr>
  </w:style>
  <w:style w:type="paragraph" w:styleId="1">
    <w:name w:val="Без интервала1"/>
    <w:qFormat/>
    <w:pPr>
      <w:widowControl/>
      <w:bidi w:val="0"/>
    </w:pPr>
    <w:rPr>
      <w:rFonts w:ascii="Calibri" w:hAnsi="Calibri" w:eastAsia="Calibri" w:cs="Calibri"/>
      <w:color w:val="auto"/>
      <w:sz w:val="22"/>
      <w:szCs w:val="22"/>
      <w:lang w:val="ru-RU" w:bidi="ar-SA" w:eastAsia="zh-CN"/>
    </w:rPr>
  </w:style>
  <w:style w:type="paragraph" w:styleId="Style21">
    <w:name w:val="Содержимое таблицы"/>
    <w:basedOn w:val="Normal"/>
    <w:qFormat/>
    <w:pPr>
      <w:widowControl w:val="false"/>
      <w:suppressLineNumbers/>
    </w:pPr>
    <w:rPr/>
  </w:style>
  <w:style w:type="paragraph" w:styleId="Style22">
    <w:name w:val="Заголовок таблицы"/>
    <w:basedOn w:val="Style21"/>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7542DFB3B9717998A52505EA10E047EB144B804E083D82263F1EF09BE29E9C644264326841D4AA3F78820A5E524CA0C91669CB933974C7F5HFB0F" TargetMode="External"/><Relationship Id="rId3" Type="http://schemas.openxmlformats.org/officeDocument/2006/relationships/hyperlink" Target="consultantplus://offline/ref=7542DFB3B9717998A52505EA10E047EB144B804E083D82263F1EF09BE29E9C644264326841D4AD357C820A5E524CA0C91669CB933974C7F5HFB0F" TargetMode="External"/><Relationship Id="rId4" Type="http://schemas.openxmlformats.org/officeDocument/2006/relationships/hyperlink" Target="consultantplus://offline/ref=7542DFB3B9717998A52505EA10E047EB144B804E083D82263F1EF09BE29E9C644264326841D4A8327F820A5E524CA0C91669CB933974C7F5HFB0F"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LibreOffice/7.5.7.1$Linux_X86_64 LibreOffice_project/50$Build-1</Application>
  <AppVersion>15.0000</AppVersion>
  <Pages>6</Pages>
  <Words>1418</Words>
  <Characters>10489</Characters>
  <CharactersWithSpaces>12016</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2019-02-19T08:18:00Z</dcterms:created>
  <dc:creator>qwerty</dc:creator>
  <dc:description/>
  <dc:language>ru-RU</dc:language>
  <cp:lastModifiedBy/>
  <cp:lastPrinted>2019-02-15T09:06:00Z</cp:lastPrinted>
  <dcterms:modified xsi:type="dcterms:W3CDTF">2024-02-13T10:56:21Z</dcterms:modified>
  <cp:revision>3</cp:revision>
  <dc:subject/>
  <dc:title>ПРАВИТЕЛЬСТВО СТАВРОПОЛЬСКОГО КРАЯ</dc:title>
</cp:coreProperties>
</file>