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tabs>
          <w:tab w:val="clear" w:pos="706"/>
          <w:tab w:val="center" w:pos="4676" w:leader="none"/>
          <w:tab w:val="left" w:pos="7876" w:leader="none"/>
        </w:tabs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</w:rPr>
        <w:t>П О С Т А Н О В Л Е Н И Е</w:t>
      </w:r>
    </w:p>
    <w:p>
      <w:pPr>
        <w:pStyle w:val="Style20"/>
        <w:spacing w:before="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yle2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ПЕТРОВСКОГО ГОРОДСКОГО ОКРУГА </w:t>
      </w:r>
    </w:p>
    <w:p>
      <w:pPr>
        <w:pStyle w:val="Style2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СТАВРОПОЛЬСКОГО КРАЯ</w:t>
      </w:r>
    </w:p>
    <w:p>
      <w:pPr>
        <w:pStyle w:val="Normal"/>
        <w:jc w:val="center"/>
        <w:rPr/>
      </w:pPr>
      <w:r>
        <w:rPr/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20"/>
              <w:snapToGrid w:val="false"/>
              <w:spacing w:before="0" w:after="0"/>
              <w:ind w:left="-108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25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/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20"/>
              <w:snapToGrid w:val="fals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424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административный регламент </w:t>
      </w:r>
      <w:r>
        <w:rPr>
          <w:rFonts w:eastAsia="Lucida Sans Unicode"/>
          <w:sz w:val="28"/>
          <w:szCs w:val="28"/>
          <w:lang w:val="ru-RU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</w:t>
      </w:r>
      <w:r>
        <w:rPr>
          <w:rFonts w:eastAsia="Lucida Sans Unicode"/>
          <w:bCs/>
          <w:sz w:val="28"/>
          <w:szCs w:val="28"/>
          <w:lang w:val="ru-RU"/>
        </w:rPr>
        <w:t>утвержденный постановлением администрации Петровского городского округа Ставропольского края от 25 мая 2018 г. № 801</w:t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 w:cs="Arial"/>
          <w:sz w:val="28"/>
          <w:szCs w:val="20"/>
        </w:rPr>
        <w:t xml:space="preserve">В соответствии с </w:t>
      </w:r>
      <w:r>
        <w:rPr>
          <w:rFonts w:eastAsia="Times New Roman"/>
          <w:sz w:val="28"/>
          <w:szCs w:val="28"/>
        </w:rPr>
        <w:t>Федеральным законом от 19</w:t>
      </w:r>
      <w:r>
        <w:rPr>
          <w:rFonts w:eastAsia="Times New Roman"/>
          <w:sz w:val="28"/>
          <w:szCs w:val="28"/>
          <w:lang w:val="ru-RU"/>
        </w:rPr>
        <w:t xml:space="preserve"> июля </w:t>
      </w:r>
      <w:r>
        <w:rPr>
          <w:rFonts w:eastAsia="Times New Roman"/>
          <w:sz w:val="28"/>
          <w:szCs w:val="28"/>
        </w:rPr>
        <w:t>2018 г</w:t>
      </w:r>
      <w:r>
        <w:rPr>
          <w:rFonts w:eastAsia="Times New Roman"/>
          <w:sz w:val="28"/>
          <w:szCs w:val="28"/>
          <w:lang w:val="ru-RU"/>
        </w:rPr>
        <w:t>.</w:t>
      </w:r>
      <w:r>
        <w:rPr>
          <w:rFonts w:eastAsia="Times New Roman"/>
          <w:sz w:val="28"/>
          <w:szCs w:val="28"/>
        </w:rPr>
        <w:t xml:space="preserve">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>
        <w:rPr>
          <w:sz w:val="28"/>
          <w:szCs w:val="28"/>
        </w:rPr>
        <w:t>приказом министерства труда и социальной защиты населения Ставропольского края от 04 ию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я 2018 г.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№ 2</w:t>
      </w:r>
      <w:r>
        <w:rPr>
          <w:sz w:val="28"/>
          <w:szCs w:val="28"/>
          <w:lang w:val="ru-RU"/>
        </w:rPr>
        <w:t>48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«О внесении изменений в типовые административные регламенты предоставления государственных услуг, утвержденные приказом министерством труда и социальной защиты населения Ставропольского края от 20 июня 2014 года № 364»</w:t>
      </w:r>
      <w:r>
        <w:rPr>
          <w:rFonts w:eastAsia="Times New Roman"/>
          <w:sz w:val="28"/>
          <w:szCs w:val="28"/>
        </w:rPr>
        <w:t xml:space="preserve">,  </w:t>
      </w:r>
      <w:r>
        <w:rPr>
          <w:sz w:val="28"/>
          <w:szCs w:val="28"/>
        </w:rPr>
        <w:t xml:space="preserve">приказом министерства труда и социальной защиты населения Ставропольского края от </w:t>
      </w:r>
      <w:r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 xml:space="preserve"> декабря 2018 г.  № </w:t>
      </w:r>
      <w:r>
        <w:rPr>
          <w:sz w:val="28"/>
          <w:szCs w:val="28"/>
          <w:lang w:val="ru-RU"/>
        </w:rPr>
        <w:t>482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«О внесении изменений в типовые административные регламенты предоставления государственных услуг, утвержденные приказом министерством труда и социальной защиты населения Ставропольского края от 20 июня 2014 года № 364»</w:t>
      </w:r>
      <w:r>
        <w:rPr>
          <w:rFonts w:eastAsia="Times New Roman"/>
          <w:sz w:val="28"/>
          <w:szCs w:val="28"/>
        </w:rPr>
        <w:t>, администрация Петровского городского округа Ставропольского края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ru-RU"/>
        </w:rPr>
        <w:t xml:space="preserve">1. Утвердить прилагаемые </w:t>
      </w:r>
      <w:r>
        <w:rPr>
          <w:rFonts w:eastAsia="Arial CYR"/>
          <w:bCs/>
          <w:sz w:val="28"/>
          <w:szCs w:val="28"/>
          <w:lang w:val="ru-RU"/>
        </w:rPr>
        <w:t xml:space="preserve">изменения, которые вносятся в административный регламент </w:t>
      </w:r>
      <w:r>
        <w:rPr>
          <w:rFonts w:eastAsia="Lucida Sans Unicode"/>
          <w:sz w:val="28"/>
          <w:szCs w:val="28"/>
          <w:lang w:val="ru-RU"/>
        </w:rPr>
        <w:t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 постановлением администрации Петровского городского округа Ставропольского края от 25 мая 2018 г. № 801 (далее - изменения, административный регламент)</w:t>
      </w:r>
      <w:r>
        <w:rPr>
          <w:sz w:val="28"/>
          <w:szCs w:val="28"/>
          <w:lang w:val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>
      <w:pPr>
        <w:pStyle w:val="Normal"/>
        <w:ind w:firstLine="709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</w:rPr>
        <w:t>2. 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Normal"/>
        <w:ind w:firstLine="709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Arial"/>
          <w:sz w:val="28"/>
          <w:szCs w:val="20"/>
        </w:rPr>
        <w:t xml:space="preserve">3. </w:t>
      </w:r>
      <w:r>
        <w:rPr>
          <w:rFonts w:eastAsia="Times New Roman"/>
          <w:sz w:val="28"/>
          <w:szCs w:val="28"/>
        </w:rPr>
        <w:t>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hd w:fill="FFFF00" w:val="clear"/>
          <w:lang w:val="ru-RU"/>
        </w:rPr>
      </w:pPr>
      <w:r>
        <w:rPr>
          <w:sz w:val="28"/>
        </w:rPr>
        <w:t xml:space="preserve">4. </w:t>
      </w:r>
      <w:r>
        <w:rPr>
          <w:rFonts w:eastAsia="Lucida Sans Unicode"/>
          <w:sz w:val="28"/>
          <w:szCs w:val="28"/>
          <w:lang w:val="ru-RU"/>
        </w:rPr>
        <w:t>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Редькина В.В.</w:t>
      </w:r>
    </w:p>
    <w:p>
      <w:pPr>
        <w:pStyle w:val="Normal"/>
        <w:ind w:firstLine="709"/>
        <w:jc w:val="both"/>
        <w:rPr>
          <w:sz w:val="28"/>
          <w:shd w:fill="FFFF00" w:val="clear"/>
          <w:lang w:val="ru-RU"/>
        </w:rPr>
      </w:pPr>
      <w:r>
        <w:rPr>
          <w:sz w:val="28"/>
          <w:shd w:fill="FFFF00" w:val="clear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0"/>
          <w:lang w:val="ru-RU"/>
        </w:rPr>
        <w:t>5</w:t>
      </w:r>
      <w:r>
        <w:rPr>
          <w:rFonts w:eastAsia="Times New Roman"/>
          <w:sz w:val="28"/>
          <w:szCs w:val="20"/>
        </w:rPr>
        <w:t xml:space="preserve">. </w:t>
      </w:r>
      <w:r>
        <w:rPr>
          <w:rFonts w:eastAsia="Times New Roman"/>
          <w:sz w:val="28"/>
          <w:szCs w:val="28"/>
          <w:lang w:val="ru-RU"/>
        </w:rPr>
        <w:t>Настоящее постановление вступает в силу со дня его официального опубликования в газете «Вестник Петровского городского округа».</w:t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А.А.Захарченко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</w:r>
    </w:p>
    <w:p>
      <w:pPr>
        <w:pStyle w:val="Normal"/>
        <w:spacing w:lineRule="exact" w:line="240"/>
        <w:jc w:val="both"/>
        <w:rPr>
          <w:rFonts w:eastAsia="Times New Roman"/>
          <w:color w:val="FFFFFF"/>
          <w:sz w:val="28"/>
          <w:szCs w:val="28"/>
          <w:lang w:val="ru-RU" w:eastAsia="en-US"/>
        </w:rPr>
      </w:pPr>
      <w:r>
        <w:rPr>
          <w:rFonts w:eastAsia="Times New Roman"/>
          <w:color w:val="FFFFFF"/>
          <w:sz w:val="28"/>
          <w:szCs w:val="28"/>
          <w:lang w:val="ru-RU" w:eastAsia="en-US"/>
        </w:rPr>
      </w:r>
    </w:p>
    <w:p>
      <w:pPr>
        <w:pStyle w:val="Normal"/>
        <w:spacing w:lineRule="exact" w:line="240"/>
        <w:ind w:right="83" w:hanging="0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p>
      <w:pPr>
        <w:pStyle w:val="Normal"/>
        <w:shd w:fill="FFFFFF" w:val="clear"/>
        <w:spacing w:lineRule="exact" w:line="240"/>
        <w:ind w:left="-1418" w:right="1274" w:hanging="0"/>
        <w:jc w:val="both"/>
        <w:rPr/>
      </w:pPr>
      <w:r>
        <w:rPr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253"/>
      </w:tblGrid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</w:r>
          </w:p>
        </w:tc>
        <w:tc>
          <w:tcPr>
            <w:tcW w:w="4253" w:type="dxa"/>
            <w:tcBorders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shd w:fill="FFFFFF" w:val="clear"/>
              <w:spacing w:lineRule="exact" w:line="240" w:before="5" w:after="0"/>
              <w:ind w:left="34" w:hanging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постановлением администрации Петровского городского округа </w:t>
            </w:r>
          </w:p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Ставропольского края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25 февраля 2019 г. № 424</w:t>
            </w:r>
          </w:p>
        </w:tc>
      </w:tr>
    </w:tbl>
    <w:p>
      <w:pPr>
        <w:pStyle w:val="ConsPlusNormal1"/>
        <w:spacing w:lineRule="atLeast" w:line="200"/>
        <w:ind w:hanging="0"/>
        <w:jc w:val="center"/>
        <w:rPr>
          <w:rFonts w:ascii="Times New Roman" w:hAnsi="Times New Roman" w:eastAsia="Arial CYR" w:cs="Times New Roman"/>
          <w:bCs/>
          <w:sz w:val="28"/>
          <w:szCs w:val="28"/>
        </w:rPr>
      </w:pPr>
      <w:r>
        <w:rPr>
          <w:rFonts w:eastAsia="Arial CYR" w:cs="Times New Roman" w:ascii="Times New Roman" w:hAnsi="Times New Roman"/>
          <w:bCs/>
          <w:sz w:val="28"/>
          <w:szCs w:val="28"/>
        </w:rPr>
      </w:r>
    </w:p>
    <w:p>
      <w:pPr>
        <w:pStyle w:val="ConsPlusNormal1"/>
        <w:spacing w:lineRule="atLeast" w:line="200"/>
        <w:ind w:hanging="0"/>
        <w:jc w:val="center"/>
        <w:rPr>
          <w:rFonts w:ascii="Times New Roman" w:hAnsi="Times New Roman" w:eastAsia="Arial CYR" w:cs="Times New Roman"/>
          <w:bCs/>
          <w:sz w:val="28"/>
          <w:szCs w:val="28"/>
        </w:rPr>
      </w:pPr>
      <w:r>
        <w:rPr>
          <w:rFonts w:eastAsia="Arial CYR" w:cs="Times New Roman" w:ascii="Times New Roman" w:hAnsi="Times New Roman"/>
          <w:bCs/>
          <w:sz w:val="28"/>
          <w:szCs w:val="28"/>
        </w:rPr>
      </w:r>
    </w:p>
    <w:p>
      <w:pPr>
        <w:pStyle w:val="ConsPlusNormal1"/>
        <w:spacing w:lineRule="exact" w:line="240"/>
        <w:ind w:hanging="0"/>
        <w:jc w:val="center"/>
        <w:rPr/>
      </w:pPr>
      <w:r>
        <w:rPr>
          <w:rFonts w:eastAsia="Arial CYR" w:cs="Times New Roman" w:ascii="Times New Roman" w:hAnsi="Times New Roman"/>
          <w:bCs/>
          <w:sz w:val="28"/>
          <w:szCs w:val="28"/>
        </w:rPr>
        <w:t>Изменения,</w:t>
      </w:r>
    </w:p>
    <w:p>
      <w:pPr>
        <w:pStyle w:val="ConsPlusNormal1"/>
        <w:spacing w:lineRule="exact" w:line="240"/>
        <w:ind w:hanging="0"/>
        <w:jc w:val="both"/>
        <w:rPr/>
      </w:pPr>
      <w:r>
        <w:rPr>
          <w:rFonts w:eastAsia="Arial CYR" w:cs="Times New Roman" w:ascii="Times New Roman" w:hAnsi="Times New Roman"/>
          <w:bCs/>
          <w:sz w:val="28"/>
          <w:szCs w:val="28"/>
        </w:rPr>
        <w:t xml:space="preserve">которые вносятся в административный регламент </w:t>
      </w:r>
      <w:r>
        <w:rPr>
          <w:rFonts w:eastAsia="Lucida Sans Unicode" w:cs="Times New Roman" w:ascii="Times New Roman" w:hAnsi="Times New Roman"/>
          <w:sz w:val="28"/>
          <w:szCs w:val="28"/>
        </w:rPr>
        <w:t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 постановлением администрации Петровского городского округа Ставропольского края от 25 мая 2018 г. № 801</w:t>
      </w:r>
    </w:p>
    <w:p>
      <w:pPr>
        <w:pStyle w:val="ConsPlusNormal1"/>
        <w:spacing w:lineRule="exact" w:line="240"/>
        <w:ind w:hanging="0"/>
        <w:jc w:val="both"/>
        <w:rPr/>
      </w:pPr>
      <w:r>
        <w:rPr/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1. Пункт 1.4 признать утратившим силу.</w:t>
      </w:r>
    </w:p>
    <w:p>
      <w:pPr>
        <w:pStyle w:val="ConsPlusNormal1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 В пункте 1.5 слова «, адрес электронной почты МФЦ –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val="en-US" w:eastAsia="ar-SA"/>
          </w:rPr>
          <w:t>mfcsv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eastAsia="ar-SA"/>
          </w:rPr>
          <w:t>@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val="en-US" w:eastAsia="ar-SA"/>
          </w:rPr>
          <w:t>yandex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eastAsia="ar-SA"/>
          </w:rPr>
          <w:t>.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val="en-US" w:eastAsia="ar-SA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>» исключить.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3. В абзаце пятом пункта 1.6 слова «, через МФЦ (в случае заключения соглашения с МФЦ)» исключить.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4. Абзац третий пункта 2.2 признать утратившим силу.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5. В пункте 2.5: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5.1. Абзац десятый изложить в следующей редакции: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«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vertAlign w:val="superscript"/>
          <w:lang w:eastAsia="ar-SA"/>
        </w:rPr>
        <w:t>8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;».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5.2. Абзац четырнадцатый изложить в следующей редакции: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vertAlign w:val="superscript"/>
          <w:lang w:eastAsia="ar-SA"/>
        </w:rPr>
        <w:t>12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;»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6. Пункт 2.7 после абзаца пятого дополнить абзацами следующего содержания: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г) выявление документально подтвержденного факта (признаков) ошибочного или противоправного действия (бездействия) специалиста Управления,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неудобства.».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7. Пункт 2.11 дополнить абзацем следующего содержания: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 и (или) специалиста Управления, плата с заявителя не взимается.».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8. Абзац одиннадцатый пункта 2.15 признать утратившим силу.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9. Абзац шестой пункта 2.16 признать утратившим силу.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10. В пункте 2.17: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10.1. Абзацы второй и шестой признать утратившими силу.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10.2. Дополнить абзацем следующего содержания: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«Предоставление государственной услуги через многофункциональные центры предоставления государственных и муниципальных услуг не предусмотрено.».</w:t>
        <w:tab/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11. Абзац четвертый пункта 4.1 признать утратившим силу.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12. Абзац первый пункта 4.6 изложить в следующей редакции: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«4.6. Управление, специалисты Управления, предоставляющие государственную услугу, несут ответственность за решения и действия (бездействие), принимаемые (осуществляемые) ими в ходе предоставления государственной услуги, за соблюдение и исполнение положений настоящего Административного регламента, правовых актов Российской Федерации и правовых актов Ставропольского края, устанавливающих требования к предоставлению государственной услуги.».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13. В пункте 5.1 слова «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 xml:space="preserve">МФЦ, работников МФЦ, а также организаций, предусмотренных частью 1.1 статьи 16 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Федерального закона № 210-ФЗ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>, или их работников,» исключить.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14. В пункте 5.2: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 xml:space="preserve">14.1. В подпункте «б» слова «.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>государственной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 xml:space="preserve"> услуги в полном объеме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 xml:space="preserve"> в порядке, определенном частью 1.3 статьи 16 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Федерального закона № 210-ФЗ» исключить.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14.2. Подпункт «в» изложить в следующей редакции: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услуги;».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14.3. Подпункт «д» изложить в следующей редакции: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нормативно правовыми актами Ставропольского края;»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14.4.  Подпункт «ж» изложить в следующей редакции: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</w:t>
      </w: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>отказ Управления, специалистов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исправлений;».</w:t>
      </w:r>
    </w:p>
    <w:p>
      <w:pPr>
        <w:pStyle w:val="ConsPlusNormal1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 xml:space="preserve">14.5.  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 xml:space="preserve">В подпункте «и» слова «.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210-ФЗ» исключить.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14.6. Дополнить подпунктом «к» следующего содержания: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«требование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услуг».».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15. Абзацы четыре, пять, шесть пункта 5.3 признать утратившими силу.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 В пункте 5.4: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16.1. В абзаце третьем слова «Жалоба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 (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en-US" w:eastAsia="ar-SA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en-US" w:eastAsia="ar-SA"/>
        </w:rPr>
        <w:t>mfcsv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@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en-US" w:eastAsia="ar-SA"/>
        </w:rPr>
        <w:t>yandex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en-US" w:eastAsia="ar-SA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), федеральной государственной информационной системы «Единый портал государственных и муниципальных услуг (функций)» (</w:t>
      </w:r>
      <w:hyperlink r:id="rId3"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eastAsia="ar-SA"/>
          </w:rPr>
          <w:t>www.gosuslugi.ru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);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4"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eastAsia="ar-SA"/>
          </w:rPr>
          <w:t>www.26gosuslugi.ru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), а также может быть принята при личном приеме заявителя.» исключить.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16.2. Абзацы четвертый, восьмой, девятый, десятый признать утратившими силу.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16.3. В подпункте «а» «МФЦ, его руководителя и (или) работника, организаций, предусмотренных частью 1.1 статьи 16 Федерального закона              № 210-ФЗ, их руководителей и (или) работников,» исключить.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16.4. В подпункте «в» слова «, МФЦ, работника МФЦ, организаций, предусмотренных частью 1.1 статьи 16 Федерального закона № 210-ФЗ, их работников» исключить.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16.5. В подпункте «г» слова «, МФЦ, работника МФЦ, организаций, предусмотренных частью 1.1 статьи 16 Федерального закона № 210-ФЗ, их работников» исключить.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17. В абзаце втором пункта 5.5 слова «</w:t>
      </w:r>
      <w:r>
        <w:rPr>
          <w:rFonts w:eastAsia="Arial CYR" w:cs="Times New Roman" w:ascii="Times New Roman" w:hAnsi="Times New Roman"/>
          <w:color w:val="000000"/>
          <w:sz w:val="28"/>
          <w:szCs w:val="28"/>
          <w:lang w:eastAsia="ar-SA"/>
        </w:rPr>
        <w:t xml:space="preserve">работника МФЦ, работника организаций,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предусмотренных частью 1.1 статьи 16 Федерального закона № 210-ФЗ,» исключить.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18. В пункте 5.6 слова «МФЦ», «, работника МФЦ» исключить.</w:t>
      </w:r>
    </w:p>
    <w:p>
      <w:pPr>
        <w:pStyle w:val="ConsPlusNormal1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19. Пункт 5.7 изложить в следующей редакции:</w:t>
      </w:r>
    </w:p>
    <w:p>
      <w:pPr>
        <w:pStyle w:val="Standard"/>
        <w:tabs>
          <w:tab w:val="clear" w:pos="706"/>
          <w:tab w:val="left" w:pos="1095" w:leader="none"/>
          <w:tab w:val="left" w:pos="1125" w:leader="none"/>
        </w:tabs>
        <w:suppressAutoHyphens w:val="false"/>
        <w:spacing w:lineRule="atLeast" w:line="200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ar-SA"/>
        </w:rPr>
        <w:t>«5.7.</w:t>
      </w:r>
      <w:r>
        <w:rPr>
          <w:sz w:val="28"/>
          <w:szCs w:val="28"/>
        </w:rPr>
        <w:t xml:space="preserve"> По результатам рассмотрения жалобы управление принимает одно из следующих решений: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по труду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>
      <w:pPr>
        <w:pStyle w:val="Normal"/>
        <w:widowControl/>
        <w:suppressAutoHyphens w:val="false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>По результатам рассмотрения жалобы заявителю направляется письменный мотивированный ответ о результатах рассмотрения жалобы (далее – ответ о результатах рассмотрения жалобы).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>При удовлетворении жалобы управление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>При удовлетворении жалобы в ответе о результатах рассмотрения жалобы дается информация о действиях, осуществляемых управление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руду в целях незамедлительного устранения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widowControl/>
        <w:suppressAutoHyphens w:val="false"/>
        <w:ind w:firstLine="737"/>
        <w:jc w:val="both"/>
        <w:rPr/>
      </w:pPr>
      <w:r>
        <w:rPr>
          <w:sz w:val="28"/>
          <w:szCs w:val="28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 xml:space="preserve">В случае если жалоба была направлена способом, указанным в абзаце </w:t>
      </w:r>
      <w:r>
        <w:rPr>
          <w:sz w:val="28"/>
          <w:szCs w:val="28"/>
          <w:lang w:val="ru-RU"/>
        </w:rPr>
        <w:t>четвертом</w:t>
      </w:r>
      <w:r>
        <w:rPr>
          <w:sz w:val="28"/>
          <w:szCs w:val="28"/>
        </w:rPr>
        <w:t xml:space="preserve"> пункта 5.4 </w:t>
      </w:r>
      <w:r>
        <w:rPr>
          <w:sz w:val="28"/>
          <w:szCs w:val="28"/>
          <w:lang w:val="ru-RU"/>
        </w:rPr>
        <w:t xml:space="preserve">настоящего </w:t>
      </w:r>
      <w:r>
        <w:rPr>
          <w:sz w:val="28"/>
          <w:szCs w:val="28"/>
        </w:rPr>
        <w:t>Административного регламент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, ответ заявителю направляется посредством системы досудебного обжалования.</w:t>
      </w:r>
      <w:r>
        <w:rPr>
          <w:sz w:val="28"/>
          <w:szCs w:val="28"/>
          <w:lang w:val="ru-RU"/>
        </w:rPr>
        <w:t>».</w:t>
      </w:r>
      <w:r>
        <w:rPr>
          <w:sz w:val="28"/>
          <w:szCs w:val="28"/>
        </w:rPr>
        <w:t xml:space="preserve"> 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20. В абзаце третьем пункта 5.8 слова «работнике МФЦ, работнике организаций, предусмотренных частью 1.1 статьи 16 Федерального закона № 210-ФЗ,» исключить.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>
      <w:pPr>
        <w:pStyle w:val="Normal"/>
        <w:spacing w:lineRule="exact" w:line="240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spacing w:lineRule="exact" w:line="240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</w:r>
    </w:p>
    <w:p>
      <w:pPr>
        <w:pStyle w:val="ConsPlusNormal1"/>
        <w:ind w:hanging="0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</w:r>
    </w:p>
    <w:p>
      <w:pPr>
        <w:pStyle w:val="ConsPlusNormal1"/>
        <w:ind w:hanging="0"/>
        <w:jc w:val="both"/>
        <w:rPr/>
      </w:pPr>
      <w:r>
        <w:rPr/>
      </w:r>
    </w:p>
    <w:p>
      <w:pPr>
        <w:pStyle w:val="ConsPlusNormal1"/>
        <w:ind w:hanging="0"/>
        <w:jc w:val="both"/>
        <w:rPr/>
      </w:pPr>
      <w:r>
        <w:rPr/>
      </w:r>
    </w:p>
    <w:p>
      <w:pPr>
        <w:pStyle w:val="ConsPlusNormal1"/>
        <w:spacing w:lineRule="exact" w:line="240"/>
        <w:ind w:hanging="0"/>
        <w:jc w:val="both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clear" w:pos="432"/>
        </w:tabs>
        <w:suppressAutoHyphens w:val="false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pStyle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sz w:val="28"/>
        <w:szCs w:val="28"/>
        <w:rFonts w:ascii="Times New Roman" w:hAnsi="Times New Roman"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06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val="zxx" w:eastAsia="zh-CN" w:bidi="ar-SA"/>
    </w:rPr>
  </w:style>
  <w:style w:type="paragraph" w:styleId="1">
    <w:name w:val="Heading 1"/>
    <w:basedOn w:val="Standard"/>
    <w:next w:val="Standard"/>
    <w:qFormat/>
    <w:pPr>
      <w:keepNext w:val="true"/>
      <w:numPr>
        <w:ilvl w:val="0"/>
        <w:numId w:val="1"/>
      </w:numPr>
      <w:tabs>
        <w:tab w:val="clear" w:pos="706"/>
        <w:tab w:val="left" w:pos="432" w:leader="none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Style20"/>
    <w:next w:val="Style21"/>
    <w:qFormat/>
    <w:pPr>
      <w:numPr>
        <w:ilvl w:val="0"/>
        <w:numId w:val="2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character" w:styleId="WW8Num1z1">
    <w:name w:val="WW8Num1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3z1">
    <w:name w:val="WW8Num3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4z1">
    <w:name w:val="WW8Num4z1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Style13">
    <w:name w:val="Strong"/>
    <w:basedOn w:val="11"/>
    <w:qFormat/>
    <w:rPr>
      <w:b/>
      <w:bCs/>
    </w:rPr>
  </w:style>
  <w:style w:type="character" w:styleId="12">
    <w:name w:val="Заголовок 1 Знак"/>
    <w:basedOn w:val="11"/>
    <w:qFormat/>
    <w:rPr>
      <w:rFonts w:ascii="Arial" w:hAnsi="Arial" w:cs="Arial"/>
      <w:b/>
      <w:bCs/>
      <w:kern w:val="2"/>
      <w:sz w:val="32"/>
      <w:szCs w:val="32"/>
      <w:lang w:eastAsia="zh-CN"/>
    </w:rPr>
  </w:style>
  <w:style w:type="character" w:styleId="Style14">
    <w:name w:val="Символ сноски"/>
    <w:basedOn w:val="11"/>
    <w:qFormat/>
    <w:rPr>
      <w:vertAlign w:val="superscript"/>
    </w:rPr>
  </w:style>
  <w:style w:type="character" w:styleId="-">
    <w:name w:val="Hyperlink"/>
    <w:rPr>
      <w:color w:val="000080"/>
      <w:u w:val="single"/>
      <w:lang w:val="zxx" w:bidi="zxx"/>
    </w:rPr>
  </w:style>
  <w:style w:type="character" w:styleId="Style15">
    <w:name w:val="Emphasis"/>
    <w:basedOn w:val="11"/>
    <w:qFormat/>
    <w:rPr>
      <w:i w:val="false"/>
      <w:iCs w:val="false"/>
    </w:rPr>
  </w:style>
  <w:style w:type="character" w:styleId="Style16">
    <w:name w:val="Текст сноски Знак"/>
    <w:basedOn w:val="11"/>
    <w:qFormat/>
    <w:rPr>
      <w:lang w:eastAsia="zh-CN"/>
    </w:rPr>
  </w:style>
  <w:style w:type="character" w:styleId="Style17">
    <w:name w:val="Основной текст с отступом Знак"/>
    <w:basedOn w:val="11"/>
    <w:qFormat/>
    <w:rPr>
      <w:sz w:val="24"/>
      <w:szCs w:val="24"/>
      <w:lang w:eastAsia="zh-CN"/>
    </w:rPr>
  </w:style>
  <w:style w:type="character" w:styleId="ConsPlusNormal">
    <w:name w:val="ConsPlusNormal Знак"/>
    <w:qFormat/>
    <w:rPr>
      <w:rFonts w:ascii="Arial" w:hAnsi="Arial" w:cs="Arial"/>
      <w:lang w:eastAsia="zh-CN" w:bidi="ar-SA"/>
    </w:rPr>
  </w:style>
  <w:style w:type="character" w:styleId="Style18">
    <w:name w:val="FollowedHyperlink"/>
    <w:basedOn w:val="11"/>
    <w:rPr>
      <w:color w:val="800080"/>
      <w:u w:val="single"/>
    </w:rPr>
  </w:style>
  <w:style w:type="character" w:styleId="Style19">
    <w:name w:val="Знак сноски"/>
    <w:qFormat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5">
    <w:name w:val="Название объекта"/>
    <w:basedOn w:val="Style20"/>
    <w:next w:val="Style26"/>
    <w:qFormat/>
    <w:pPr/>
    <w:rPr/>
  </w:style>
  <w:style w:type="paragraph" w:styleId="2">
    <w:name w:val="Указатель2"/>
    <w:basedOn w:val="Normal"/>
    <w:qFormat/>
    <w:pPr>
      <w:suppressLineNumbers/>
    </w:pPr>
    <w:rPr>
      <w:rFonts w:cs="Mangal"/>
    </w:rPr>
  </w:style>
  <w:style w:type="paragraph" w:styleId="Style26">
    <w:name w:val="Subtitle"/>
    <w:basedOn w:val="Style20"/>
    <w:next w:val="Style21"/>
    <w:qFormat/>
    <w:pPr>
      <w:jc w:val="center"/>
    </w:pPr>
    <w:rPr>
      <w:i/>
      <w:iCs/>
      <w:sz w:val="28"/>
      <w:szCs w:val="28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ConsPlusNormal1">
    <w:name w:val="ConsPlusNormal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8">
    <w:name w:val="Footnote Text"/>
    <w:basedOn w:val="Normal"/>
    <w:pPr>
      <w:widowControl/>
    </w:pPr>
    <w:rPr>
      <w:rFonts w:eastAsia="Times New Roman"/>
      <w:kern w:val="2"/>
      <w:sz w:val="20"/>
      <w:szCs w:val="20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Textbody">
    <w:name w:val="Text body"/>
    <w:basedOn w:val="Standard"/>
    <w:qFormat/>
    <w:pPr>
      <w:jc w:val="both"/>
    </w:pPr>
    <w:rPr>
      <w:color w:val="000000"/>
      <w:sz w:val="28"/>
      <w:szCs w:val="28"/>
    </w:rPr>
  </w:style>
  <w:style w:type="paragraph" w:styleId="Style29">
    <w:name w:val="Body Text Indent"/>
    <w:basedOn w:val="Normal"/>
    <w:pPr>
      <w:widowControl/>
      <w:spacing w:before="0" w:after="120"/>
      <w:ind w:left="283" w:right="0" w:hanging="0"/>
    </w:pPr>
    <w:rPr>
      <w:rFonts w:eastAsia="Times New Roman"/>
      <w:kern w:val="2"/>
      <w:lang w:val="ru-RU" w:eastAsia="zh-CN"/>
    </w:rPr>
  </w:style>
  <w:style w:type="paragraph" w:styleId="Style30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fcsv@yandex.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www.26gosuslugi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LibreOffice/7.5.7.1$Linux_X86_64 LibreOffice_project/50$Build-1</Application>
  <AppVersion>15.0000</AppVersion>
  <Pages>7</Pages>
  <Words>1737</Words>
  <Characters>12857</Characters>
  <CharactersWithSpaces>14697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2019-02-26T08:35:00Z</dcterms:created>
  <dc:creator>seryak</dc:creator>
  <dc:description/>
  <dc:language>ru-RU</dc:language>
  <cp:lastModifiedBy/>
  <cp:lastPrinted>2019-02-26T08:21:00Z</cp:lastPrinted>
  <dcterms:modified xsi:type="dcterms:W3CDTF">2024-02-13T11:14:38Z</dcterms:modified>
  <cp:revision>3</cp:revision>
  <dc:subject/>
  <dc:title/>
</cp:coreProperties>
</file>