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документы, представляемые с проектом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b/>
          <w:sz w:val="28"/>
          <w:szCs w:val="28"/>
        </w:rPr>
        <w:t xml:space="preserve"> «Социальное развитие»</w:t>
      </w:r>
    </w:p>
    <w:p>
      <w:pPr>
        <w:pStyle w:val="Normal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Общая характеристика 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текущего состояния сферы реализации муниципальной программы,</w:t>
      </w:r>
    </w:p>
    <w:p>
      <w:pPr>
        <w:pStyle w:val="Normal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формулировка основных проблем в указанной сфере</w:t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</w:t>
      </w:r>
      <w:r>
        <w:rPr>
          <w:rFonts w:ascii="Times New Roman" w:hAnsi="Times New Roman" w:eastAsia="Calibri"/>
          <w:sz w:val="28"/>
          <w:szCs w:val="28"/>
        </w:rPr>
        <w:t xml:space="preserve">униципальной программы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«Социальное развитие»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направлена на реализацию полномочий, закрепленных в Федеральн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закон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06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октября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2003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г.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культуры и ценностей здорового образа жизни как основы устойчивого развития общества и качества жизни населения, создание необходимых условий для поступательного развития сферы физической культуры и спорта являются важными составляющими современной государственной политики. На муниципальном уровне развитие данного направления как никогда актуально. К</w:t>
      </w:r>
      <w:r>
        <w:rPr>
          <w:rFonts w:ascii="Times New Roman" w:hAnsi="Times New Roman"/>
          <w:sz w:val="28"/>
          <w:szCs w:val="28"/>
        </w:rPr>
        <w:t xml:space="preserve"> числу приоритетных направлений развития физической культуры и спорта относятся: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вовлечение граждан, прежде всего детей и молодежи, в регулярные занятия физической культурой и массовым спортом;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уровня физической подготовленности граждан;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овышение доступности объектов спорта, в том числе на сельских территориях, а также для лиц с ограниченными воз</w:t>
      </w:r>
      <w:r>
        <w:rPr>
          <w:rFonts w:ascii="Times New Roman" w:hAnsi="Times New Roman"/>
          <w:sz w:val="28"/>
          <w:szCs w:val="28"/>
        </w:rPr>
        <w:t xml:space="preserve">можностями здоровья и инвалидов.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следует уделить проблеме укрепления здоровья детей и учащейся молодежи. С каждым годом увеличивается число юношей, не пригодных по состоянию здоровья к воинской службе. На этом фоне колоссальными темпами увеличивается число школьников, пристрастившихся к табакокурению, употреблению спиртных напитков и наркотиков. Необходимо наладить эффективную оздоровительную работу, создать условия максимальной доступности занятий физической культурой, спортом и туризмом для молодежи и подрастающего поколения, особо обратить внимание на население, проживающее в сельской местности. Особое внимание в данной связи следует уделять внедрению Всероссийского физкультурно-спортивного комплекса «Готов к труду и обороне».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</w:t>
      </w:r>
      <w:r>
        <w:rPr>
          <w:rFonts w:ascii="Times New Roman" w:hAnsi="Times New Roman"/>
          <w:sz w:val="28"/>
          <w:szCs w:val="28"/>
        </w:rPr>
        <w:t xml:space="preserve">ерритории Петровского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функционируют физкультурно-спортивные учреждения, подведомственные отделу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- муниципальное бюджетное учреждение «Физкультурно-оздоровительный комплекс «Победа»,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- муниципальное казенное учреждение «Светлоградский городской стадион»,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- муниципальное казённое учреждение «Спортивный зал села Благодатного»,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  <w:shd w:val="clear" w:color="auto" w:fill="ffffff"/>
        </w:rPr>
        <w:t xml:space="preserve">муниципальное казенное учреждение «Спорткомплекс имени И.В. Смагина»</w:t>
      </w:r>
      <w:r>
        <w:rPr>
          <w:szCs w:val="28"/>
        </w:rPr>
        <w:t xml:space="preserve">,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униципальное казенное учреждение «Спортивный зал села Мартыновка»,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 xml:space="preserve">учреждение дополнительного образования «</w:t>
      </w:r>
      <w:r>
        <w:rPr>
          <w:rFonts w:ascii="Times New Roman" w:hAnsi="Times New Roman"/>
          <w:sz w:val="28"/>
          <w:szCs w:val="28"/>
        </w:rPr>
        <w:t xml:space="preserve">Спортивная школа» (далее МБ</w:t>
      </w:r>
      <w:r>
        <w:rPr>
          <w:rFonts w:ascii="Times New Roman" w:hAnsi="Times New Roman"/>
          <w:sz w:val="28"/>
          <w:szCs w:val="28"/>
        </w:rPr>
        <w:t xml:space="preserve">У ДО «СШ»), по ведомственной принадлежности о</w:t>
      </w:r>
      <w:r>
        <w:rPr>
          <w:rFonts w:ascii="Times New Roman" w:hAnsi="Times New Roman"/>
          <w:sz w:val="28"/>
          <w:szCs w:val="28"/>
        </w:rPr>
        <w:t xml:space="preserve">тносящаяся к отделу образования администрации Петровского муниципального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учреждениях физической культуры и спорта насчитывае</w:t>
      </w:r>
      <w:r>
        <w:rPr>
          <w:rFonts w:ascii="Times New Roman" w:hAnsi="Times New Roman"/>
          <w:sz w:val="28"/>
          <w:szCs w:val="28"/>
        </w:rPr>
        <w:t xml:space="preserve">тся 69,25 штатных единиц, из них 12</w:t>
      </w:r>
      <w:r>
        <w:rPr>
          <w:rFonts w:ascii="Times New Roman" w:hAnsi="Times New Roman"/>
          <w:sz w:val="28"/>
          <w:szCs w:val="28"/>
        </w:rPr>
        <w:t xml:space="preserve">,25 штатных единиц по должности инструктор-методист физкультурно-спортивных организаций.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жителей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края, вовлеченных в регулярные занятия физической культурой и спортом, по состоянию на 01 января 2022 года, составляла 34389 чел. или 53,2% к населению района. На 01 января 2023 г. в регулярные занятия физической культурой и спортом было вовлечено 35124 чел. или 55 % к населению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. На 01 января 2024г. данный показатель составил – 38917 чел. или 60,6 %.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доли регулярно занимающихся физической культурой и спортом жителей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с 53,2% в 2022 году до 60,6 %. в 2023 году произошло в результате активизации работы с территориальными отделами, руководителями различных трудовых коллективов, работающих на территории округа, увеличением количества проводимых на территории округа спортивно-массовых мероприятий, вовлечением в занятия физической культурой и спортом населения округа всех возрастов, вводом в эксплуатацию за изучаемый период новых спортивных объектов.</w:t>
      </w:r>
    </w:p>
    <w:p>
      <w:pPr>
        <w:pStyle w:val="UserStyle_2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и спортом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(на 01 января 2024г.) </w:t>
      </w:r>
      <w:r>
        <w:rPr>
          <w:rFonts w:ascii="Times New Roman" w:hAnsi="Times New Roman" w:cs="Times New Roman"/>
          <w:sz w:val="28"/>
          <w:szCs w:val="28"/>
        </w:rPr>
        <w:t xml:space="preserve">имеется 102 спортивных объекта, в том числе 3 стадиона (муниципальной собственности), 38 спортивных залов (3 – краевая собственность, 33 – муниципальная собственность, 2 – частная собственность), 56 плоскостных спортивных сооружений (52 – муниципальная собственность, 4 – краевая собственность), 4 плавательных бассейна (2 – муниципальная собственность, 2 – частная собственность). При организации и осуществлении физкультурно-оздоровительной и спортивно-массовой работы с инвалидами остро стоят проблемы кадрового и методического обеспечения, финансирования и обеспечения специальным спортивным инвентарем и оборудованием.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широкого вовлечения людей в сферу физкультурно-спортивной деятельности необходимо соответствующее материально-техническое обеспечение. Большинство плоскостных спортивных сооружений нуждается в реконструкции или капитальном ремонте. Также для успешного развития физической культуры среди детей и молодежи необходимо обустройство и ремонт детских и (или) спортивных площадок (комплексов). Для поддержания инициатив жителей Петров</w:t>
      </w:r>
      <w:r>
        <w:rPr>
          <w:rFonts w:ascii="Times New Roman" w:hAnsi="Times New Roman"/>
          <w:sz w:val="28"/>
          <w:szCs w:val="28"/>
        </w:rPr>
        <w:t xml:space="preserve">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по созданию условий для укрепления здоровья и физического развития населения, с целью вовлечения широкого круга людей в занятия физической культурой и спортом реализованы инициативны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«Благоустройство комплексной спортивной площадки в с.Николина Балка Петровского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«Устройство ограждения баскетбольной площадки на территории стадиона, расположенного по адресу: Ставропольский край, Петровский район, село Донская Балка, пл.Стадиона,6»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«Благоустройство территории,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края», «Обустройство беговых легкоатлетических дорожек на территории стадиона в селе Донская Балка Петровского городского округа Ставропольского края». В 2024 году запланировано «Устройство комплексной спортивной площадки по пер. Школьному, 2 в селе Донская Балка Петровского муниципального округа Ставропольского края».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«</w:t>
      </w:r>
      <w:r>
        <w:rPr>
          <w:rFonts w:ascii="Times New Roman" w:hAnsi="Times New Roman"/>
          <w:sz w:val="28"/>
          <w:szCs w:val="28"/>
        </w:rPr>
        <w:t xml:space="preserve">Реализация инициативных проектов в Петровском муниципальном округе Ставропольского края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» реализованы проекты </w:t>
      </w:r>
      <w:r>
        <w:rPr>
          <w:rFonts w:ascii="Times New Roman" w:hAnsi="Times New Roman"/>
          <w:sz w:val="28"/>
          <w:szCs w:val="28"/>
        </w:rPr>
        <w:t xml:space="preserve">«Обустройство футбольной площадки на ул. Высотной г. Светлограда»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«Благоустройство территории, прилегающей к зданию спортзала, с установкой уличных тренажеров на т</w:t>
      </w:r>
      <w:r>
        <w:rPr>
          <w:rFonts w:ascii="Times New Roman" w:hAnsi="Times New Roman"/>
          <w:sz w:val="28"/>
          <w:szCs w:val="28"/>
        </w:rPr>
        <w:t xml:space="preserve">ерритории с. Константиновского», </w:t>
      </w:r>
      <w:r>
        <w:rPr>
          <w:rFonts w:ascii="Times New Roman" w:hAnsi="Times New Roman"/>
          <w:sz w:val="28"/>
          <w:szCs w:val="28"/>
        </w:rPr>
        <w:t xml:space="preserve">«Благоустройство комплексной спортивной площадки в с. Николина Балка Петровского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«Устройство ограждения баскетбольной площадки на территории стадиона, расположенного по адресу: Ставропольский край, Петровский район, село Донская Балка, пл. Стадиона, 6»</w:t>
      </w:r>
      <w:r>
        <w:rPr>
          <w:rFonts w:ascii="Times New Roman" w:hAnsi="Times New Roman"/>
          <w:sz w:val="28"/>
          <w:szCs w:val="28"/>
        </w:rPr>
        <w:t xml:space="preserve">. В 2024 году </w:t>
      </w:r>
      <w:r>
        <w:rPr>
          <w:rFonts w:ascii="Times New Roman" w:hAnsi="Times New Roman"/>
          <w:sz w:val="28"/>
          <w:szCs w:val="28"/>
        </w:rPr>
        <w:t xml:space="preserve">будет осуществлено устройство комплексной спортивной площадки по ул. Красная в селе Ореховка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регионального проекта «Спорт -  норма жизни» в 2024 -2025 г. планируется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«Реконструкция стадиона МКУ «Светлоградский городской стадион»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Одним из приоритетных направлений государственной политики  является сохранение и укрепление в обществе духовно-нравственных ценностей. Эффективными методами реализ</w:t>
      </w:r>
      <w:r>
        <w:rPr>
          <w:rFonts w:ascii="Times New Roman" w:hAnsi="Times New Roman" w:eastAsia="Calibri"/>
          <w:sz w:val="28"/>
          <w:szCs w:val="28"/>
        </w:rPr>
        <w:t xml:space="preserve">ации этого направления являются </w:t>
      </w:r>
      <w:r>
        <w:rPr>
          <w:rFonts w:ascii="Times New Roman" w:hAnsi="Times New Roman" w:eastAsia="Calibri"/>
          <w:sz w:val="28"/>
          <w:szCs w:val="28"/>
        </w:rPr>
        <w:t xml:space="preserve">проведение социально значимых мероприятий; </w:t>
      </w:r>
      <w:r>
        <w:rPr>
          <w:rFonts w:ascii="Times New Roman" w:hAnsi="Times New Roman" w:eastAsia="Calibri"/>
          <w:sz w:val="28"/>
          <w:szCs w:val="28"/>
        </w:rPr>
        <w:t xml:space="preserve">о</w:t>
      </w:r>
      <w:r>
        <w:rPr>
          <w:rFonts w:ascii="Times New Roman" w:hAnsi="Times New Roman"/>
          <w:sz w:val="28"/>
        </w:rPr>
        <w:t xml:space="preserve">рганизация и проведение комплекса праздничных, культурно-массовых мероприятий и дней памяти для различных групп населения, мероприятий по укреплению семейных ценностей, поддержку института семьи, </w:t>
      </w:r>
      <w:r>
        <w:rPr>
          <w:rFonts w:ascii="Times New Roman" w:hAnsi="Times New Roman" w:eastAsia="Calibri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</w:rPr>
        <w:t xml:space="preserve">празднование Дня любви, семьи и верности, проведение благотворительных рождественских утренников, поздравление долгожителей с юбилеями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ветеранов и участников Великой Отечественной войны с днем рождения и праздничными календарными днями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Федерального закона «О молодежной политике в Российской Федерации от 30.12.2020 № 489-ФЗ к молодым гражданам стали относить социальную группу в возрасте от 14 до 35 лет включительно.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на 01 января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проживает более 1</w:t>
      </w:r>
      <w:r>
        <w:rPr>
          <w:rFonts w:ascii="Times New Roman" w:hAnsi="Times New Roman"/>
          <w:sz w:val="28"/>
          <w:szCs w:val="28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00 человек данной возрастной категории. По сравнению с 2020 годом, когда возрастная  категория молодежи считалась от 14 до 30 лет,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доля молодежи, задействованной в мероприятиях в области </w:t>
      </w:r>
      <w:r>
        <w:rPr>
          <w:rFonts w:ascii="Times New Roman" w:hAnsi="Times New Roman"/>
          <w:sz w:val="28"/>
          <w:szCs w:val="28"/>
        </w:rPr>
        <w:t xml:space="preserve">реализации молодежной политики </w:t>
      </w:r>
      <w:r>
        <w:rPr>
          <w:rFonts w:ascii="Times New Roman" w:hAnsi="Times New Roman"/>
          <w:sz w:val="28"/>
          <w:szCs w:val="28"/>
        </w:rPr>
        <w:t xml:space="preserve">составляет 8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% от общей численности молодежи округа.</w:t>
      </w:r>
    </w:p>
    <w:p>
      <w:pPr>
        <w:pStyle w:val="Normal"/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реализация молодежной политики характеризуется следующими показателями: </w:t>
      </w:r>
      <w:r>
        <w:rPr>
          <w:rFonts w:ascii="Times New Roman" w:hAnsi="Times New Roman"/>
          <w:sz w:val="28"/>
          <w:szCs w:val="28"/>
          <w:lang w:eastAsia="ar-SA"/>
        </w:rPr>
        <w:t xml:space="preserve">отмечается положительная тенденция увеличения численности вовлеченных в проведенные мероприятия молодых людей</w:t>
      </w:r>
      <w:r>
        <w:rPr>
          <w:rFonts w:ascii="Times New Roman" w:hAnsi="Times New Roman"/>
          <w:sz w:val="28"/>
          <w:szCs w:val="28"/>
          <w:lang w:eastAsia="ar-SA"/>
        </w:rPr>
        <w:t xml:space="preserve">. Д</w:t>
      </w:r>
      <w:r>
        <w:rPr>
          <w:rFonts w:ascii="Times New Roman" w:hAnsi="Times New Roman"/>
          <w:sz w:val="28"/>
          <w:szCs w:val="28"/>
        </w:rPr>
        <w:t xml:space="preserve">оля молодежи, задействованной в мероприятиях в области реализации молодежной политики, в общей численности молодежи</w:t>
      </w:r>
      <w:r>
        <w:rPr>
          <w:rFonts w:ascii="Times New Roman" w:hAnsi="Times New Roman"/>
          <w:sz w:val="28"/>
          <w:szCs w:val="28"/>
          <w:lang w:eastAsia="en-US"/>
        </w:rPr>
        <w:t xml:space="preserve"> составила 83,00%</w:t>
      </w:r>
      <w:r>
        <w:rPr>
          <w:rFonts w:ascii="Times New Roman" w:hAnsi="Times New Roman"/>
          <w:sz w:val="28"/>
          <w:szCs w:val="28"/>
          <w:lang w:eastAsia="ar-SA"/>
        </w:rPr>
        <w:t xml:space="preserve">, что на 3% выше, чем в 2019 году. </w:t>
      </w:r>
      <w:r>
        <w:rPr>
          <w:rFonts w:ascii="Times New Roman" w:hAnsi="Times New Roman"/>
          <w:sz w:val="28"/>
          <w:szCs w:val="28"/>
        </w:rPr>
        <w:t xml:space="preserve">Количество проведенных массовых молодежных мероприятий в Петровском муниципальном округе в 2023 году составило 167 единиц, что на 5,70</w:t>
      </w:r>
      <w:r>
        <w:rPr>
          <w:rFonts w:ascii="Times New Roman" w:hAnsi="Times New Roman"/>
          <w:sz w:val="28"/>
          <w:szCs w:val="28"/>
          <w:lang w:eastAsia="ar-SA"/>
        </w:rPr>
        <w:t xml:space="preserve">% больше, чем в 2019 году и составило 105,7%. </w:t>
      </w:r>
      <w:r>
        <w:rPr>
          <w:rFonts w:ascii="Times New Roman" w:hAnsi="Times New Roman"/>
          <w:sz w:val="28"/>
          <w:szCs w:val="28"/>
        </w:rPr>
        <w:t xml:space="preserve">Членов волонтерского движения на </w:t>
      </w:r>
      <w:r>
        <w:rPr>
          <w:rFonts w:ascii="Times New Roman" w:hAnsi="Times New Roman"/>
          <w:sz w:val="28"/>
          <w:szCs w:val="28"/>
        </w:rPr>
        <w:t xml:space="preserve"> 29.12.2023 </w:t>
      </w:r>
      <w:r>
        <w:rPr>
          <w:rFonts w:ascii="Times New Roman" w:hAnsi="Times New Roman"/>
          <w:sz w:val="28"/>
          <w:szCs w:val="28"/>
        </w:rPr>
        <w:t xml:space="preserve">года зарегистрировано </w:t>
      </w:r>
      <w:r>
        <w:rPr>
          <w:rFonts w:ascii="Times New Roman" w:hAnsi="Times New Roman"/>
          <w:sz w:val="28"/>
          <w:szCs w:val="28"/>
        </w:rPr>
        <w:t xml:space="preserve">10 996 человек, что на 1641 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 больше, чем в 2020 году.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ind w:left="0" w:firstLine="567"/>
        <w:jc w:val="both"/>
      </w:pPr>
      <w:r>
        <w:t xml:space="preserve">Поддержка социально ориентированных некоммерческих организаций» программы Петровского </w:t>
      </w:r>
      <w:r>
        <w:t xml:space="preserve">муниципального</w:t>
      </w:r>
      <w:r>
        <w:t xml:space="preserve"> округа Ставропольского края обусловлена реализацией государственной политики в области поддержки социально ориентированных некоммерческих организаций (далее – СО НКО). В настоящее время СО НКО Петровского </w:t>
      </w:r>
      <w:r>
        <w:t xml:space="preserve">муниципального</w:t>
      </w:r>
      <w:r>
        <w:t xml:space="preserve"> округа</w:t>
      </w:r>
      <w:r>
        <w:t xml:space="preserve">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</w:t>
      </w:r>
      <w:r>
        <w:t xml:space="preserve">В частности, </w:t>
      </w:r>
      <w:r>
        <w:t xml:space="preserve">общественная организация ветеранов (пенсионеров) войны, труда, Вооруженных сил и правоохранительных органов Петровского городского округа Ставропольского края</w:t>
      </w:r>
      <w:r>
        <w:t xml:space="preserve"> </w:t>
      </w:r>
      <w:r>
        <w:t xml:space="preserve">явля</w:t>
      </w:r>
      <w:r>
        <w:t xml:space="preserve">е</w:t>
      </w:r>
      <w:r>
        <w:t xml:space="preserve">тся выразител</w:t>
      </w:r>
      <w:r>
        <w:t xml:space="preserve">е</w:t>
      </w:r>
      <w:r>
        <w:t xml:space="preserve">м</w:t>
      </w:r>
      <w:r>
        <w:t xml:space="preserve"> </w:t>
      </w:r>
      <w:r>
        <w:t xml:space="preserve">общественного мнения отдельных групп общества и способн</w:t>
      </w:r>
      <w:r>
        <w:t xml:space="preserve">о</w:t>
      </w:r>
      <w:r>
        <w:t xml:space="preserve"> организованно участвовать в решении вопросов, касающихся жизнедеятельности общества. Некоммерческие организации выросли в реально действующий самостоятельный сектор общественных отношений, характерными чертами которого являются заметно возросший профессионализм и широкий спектр направления уставных целей.</w:t>
      </w:r>
    </w:p>
    <w:p>
      <w:pPr>
        <w:pStyle w:val="179"/>
        <w:ind w:left="0" w:firstLine="567"/>
        <w:jc w:val="both"/>
      </w:pPr>
      <w:r>
        <w:t xml:space="preserve">Особую актуальность приобретает необходимость выстраивания системы взаимоотношений органов власти и СО НКО как равноправных субъектов взаимодействия в целях объединения усилий для решения задач социально-экономического развития района.</w:t>
      </w:r>
    </w:p>
    <w:p>
      <w:pPr>
        <w:pStyle w:val="179"/>
        <w:ind w:left="0" w:firstLine="567"/>
        <w:jc w:val="both"/>
      </w:pPr>
      <w:r>
        <w:t xml:space="preserve">В соответствии с законодательством детям-сиротам и детям, оставшимся без попечения родителей, </w:t>
      </w:r>
      <w:r>
        <w:t xml:space="preserve">а также совершеннолетним, признанным судом недееспособными, </w:t>
      </w:r>
      <w:r>
        <w:t xml:space="preserve">предоставляется полное государственное обеспечение, включающее в себя предоставление бесплатного питания, бесплатной одежды, обуви и мягкого инвентаря, бесплатного медицинского обслуживания. Помимо этого предоставляются дополнительные меры социальной поддержки: ежемесячная жилищно-коммунальная выплата на оплату жилого помещения и коммунальных услуг.</w:t>
      </w:r>
    </w:p>
    <w:p>
      <w:pPr>
        <w:pStyle w:val="179"/>
        <w:ind w:left="0" w:firstLine="567"/>
        <w:jc w:val="both"/>
      </w:pPr>
      <w:r>
        <w:t xml:space="preserve">В последние годы наметились положительные тенденции по поддержке детей и семей, оказавшихся в трудной жизненной ситуации, а также по формированию положительного отношения общества к принятию в семьи на воспитание детей, оставшихся без попечения родителей.</w:t>
      </w:r>
    </w:p>
    <w:p>
      <w:pPr>
        <w:pStyle w:val="179"/>
        <w:ind w:left="0" w:firstLine="567"/>
        <w:jc w:val="both"/>
      </w:pPr>
      <w:r>
        <w:t xml:space="preserve">Организация работы с семьями, находящимися на ранней стадии кризиса, позволяет сохранить детям кровную семью, сократить число лишений родительских прав. Таким образом, для решения задачи предотвращения сиротства требуется организация планомерной, комплексной профилактической работы с неблагополучными семьями на ранней стадии кризиса, направленной на восстановление семьи, обеспечение в ней условий для соблюдения прав ребенка. Программа позволит реализовать систему мер, направленных на осуществление государственной политики по отношению к детям-сиротам и детям, оставшимся без попечения родителей</w:t>
      </w:r>
      <w:r>
        <w:t xml:space="preserve">, а также </w:t>
      </w:r>
      <w:r>
        <w:t xml:space="preserve">к </w:t>
      </w:r>
      <w:r>
        <w:t xml:space="preserve">взрослы</w:t>
      </w:r>
      <w:r>
        <w:t xml:space="preserve">м</w:t>
      </w:r>
      <w:r>
        <w:t xml:space="preserve">, </w:t>
      </w:r>
      <w:r>
        <w:t xml:space="preserve">признанным судом, недееспособными</w:t>
      </w:r>
      <w:r>
        <w:t xml:space="preserve">.</w:t>
      </w:r>
    </w:p>
    <w:p>
      <w:pPr>
        <w:pStyle w:val="179"/>
        <w:ind w:left="0" w:firstLine="567"/>
        <w:jc w:val="both"/>
      </w:pPr>
    </w:p>
    <w:p>
      <w:pPr>
        <w:pStyle w:val="Normal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Обоснование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необходимых объемов бюджетных ассигнований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на реализацию основных мероприятий муниципальной программы</w:t>
      </w:r>
    </w:p>
    <w:p>
      <w:pPr>
        <w:pStyle w:val="UserStyle_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Социальное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(далее - Программа) предусматривает реализацию 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основных мероприятий, направленных на достижение поставленных целей. </w:t>
      </w:r>
      <w:r>
        <w:rPr>
          <w:rFonts w:ascii="Times New Roman" w:hAnsi="Times New Roman"/>
          <w:sz w:val="28"/>
          <w:szCs w:val="28"/>
        </w:rPr>
        <w:t xml:space="preserve">Финансовое обеспечение требуетс</w:t>
      </w:r>
      <w:r>
        <w:rPr>
          <w:rFonts w:ascii="Times New Roman" w:hAnsi="Times New Roman"/>
          <w:sz w:val="28"/>
          <w:szCs w:val="28"/>
        </w:rPr>
        <w:t xml:space="preserve">я для реализации 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-ти основных мероприятий подпрограмм Программы.</w:t>
      </w:r>
    </w:p>
    <w:p>
      <w:pPr>
        <w:pStyle w:val="UserStyle_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603785,73 тыс. рублей, в том числе по источникам финансового обеспечения:</w:t>
      </w:r>
    </w:p>
    <w:p>
      <w:pPr>
        <w:pStyle w:val="Normal"/>
        <w:tabs>
          <w:tab w:val="center" w:pos="4677" w:leader="none"/>
        </w:tabs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Ставропольского края (далее – краевой бюджет) – 369167,11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16390,15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17479,96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21215,51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197868,72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97583,23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18629,54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бюджет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округа Ставропольского края (далее – бюджет округа) – 233264,02 тыс. руб., в том числе по годам: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37976,29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39468</w:t>
      </w:r>
      <w:r>
        <w:rPr>
          <w:rFonts w:ascii="Times New Roman" w:hAnsi="Times New Roman"/>
          <w:sz w:val="28"/>
          <w:szCs w:val="28"/>
        </w:rPr>
        <w:t xml:space="preserve">,94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38202</w:t>
      </w:r>
      <w:r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44966</w:t>
      </w:r>
      <w:r>
        <w:rPr>
          <w:rFonts w:ascii="Times New Roman" w:hAnsi="Times New Roman"/>
          <w:sz w:val="28"/>
          <w:szCs w:val="28"/>
        </w:rPr>
        <w:t xml:space="preserve">,47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36637</w:t>
      </w:r>
      <w:r>
        <w:rPr>
          <w:rFonts w:ascii="Times New Roman" w:hAnsi="Times New Roman"/>
          <w:sz w:val="28"/>
          <w:szCs w:val="28"/>
        </w:rPr>
        <w:t xml:space="preserve">,05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36013</w:t>
      </w:r>
      <w:r>
        <w:rPr>
          <w:rFonts w:ascii="Times New Roman" w:hAnsi="Times New Roman"/>
          <w:sz w:val="28"/>
          <w:szCs w:val="28"/>
        </w:rPr>
        <w:t xml:space="preserve">,27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расходы бюджета округа – 0,00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участников Программы – 1354,60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227,90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465,80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359</w:t>
      </w:r>
      <w:r>
        <w:rPr>
          <w:rFonts w:ascii="Times New Roman" w:hAnsi="Times New Roman"/>
          <w:sz w:val="28"/>
          <w:szCs w:val="28"/>
        </w:rPr>
        <w:t xml:space="preserve">,75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301,15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планируемых объемов ресурсов на реализацию Программы приведено в Приложении 1.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Поддержка инновационной деятельности за счет бюджета округа в рамках реализации Программы не предусмотрена.</w:t>
      </w:r>
    </w:p>
    <w:p>
      <w:pPr>
        <w:pStyle w:val="UserStyle_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Сведения об основных мерах правового регулирования</w:t>
      </w:r>
    </w:p>
    <w:p>
      <w:pPr>
        <w:pStyle w:val="User"/>
        <w:ind w:firstLine="708"/>
        <w:jc w:val="center"/>
        <w:rPr>
          <w:szCs w:val="28"/>
        </w:rPr>
      </w:pPr>
      <w:r>
        <w:rPr>
          <w:szCs w:val="28"/>
        </w:rPr>
        <w:t xml:space="preserve">в сфере реализации муниципальной программы</w:t>
      </w:r>
      <w:r>
        <w:rPr>
          <w:szCs w:val="28"/>
        </w:rPr>
      </w:r>
    </w:p>
    <w:p>
      <w:pPr>
        <w:pStyle w:val="User"/>
        <w:ind w:firstLine="708"/>
        <w:jc w:val="center"/>
        <w:rPr>
          <w:szCs w:val="28"/>
        </w:rPr>
      </w:pPr>
      <w:r>
        <w:rPr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Сведения об основных мерах правового регулирования в сфере реализации Программы представлены в </w:t>
      </w:r>
      <w:r>
        <w:rPr>
          <w:szCs w:val="28"/>
        </w:rPr>
        <w:t xml:space="preserve">П</w:t>
      </w:r>
      <w:r>
        <w:rPr>
          <w:szCs w:val="28"/>
        </w:rPr>
        <w:t xml:space="preserve">риложении 2.</w:t>
      </w:r>
      <w:r>
        <w:rPr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Сведения об источнике информации и методике расчета индикаторов достижения целей муниципальной программы и показателей решения задач подпрограмм муниципальной программы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Сведения о формах государственного (федерального) статистического наблюдения, сведения о методиках расчета значений индикаторов достижения целей Программы (показателей решения задач подпрограмм Программы), утвержденных Правительством </w:t>
      </w:r>
      <w:r>
        <w:rPr>
          <w:szCs w:val="28"/>
        </w:rPr>
        <w:t xml:space="preserve">Р</w:t>
      </w:r>
      <w:r>
        <w:rPr>
          <w:szCs w:val="28"/>
        </w:rPr>
        <w:t xml:space="preserve">оссийской Федерации, федеральным органом исполнительной власти, </w:t>
      </w:r>
      <w:r>
        <w:rPr>
          <w:szCs w:val="28"/>
        </w:rPr>
        <w:t xml:space="preserve">П</w:t>
      </w:r>
      <w:r>
        <w:rPr>
          <w:szCs w:val="28"/>
        </w:rPr>
        <w:t xml:space="preserve">равительством Ставропольского края, органом местного самоуправления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края, ответственным исполнителем Программы (соисполнителем Программы), приведены в Приложении 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5. Основные параметры потребности в трудовых ресурсах для реализации муниципальной программы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В рамках реализации Программы параметры потребности в трудовых ресурсах, включая потребность в инженерно-технических кадрах и прогноз количества их подготовки за счет средств бюджета</w:t>
      </w:r>
      <w:r>
        <w:rPr>
          <w:szCs w:val="28"/>
        </w:rPr>
        <w:t xml:space="preserve"> округа</w:t>
      </w:r>
      <w:r>
        <w:rPr>
          <w:szCs w:val="28"/>
        </w:rPr>
        <w:t xml:space="preserve"> не предусмотрены. Реализация мероприятий подпрограмм программы будет осуществлена действующими штатными сотрудниками отдела социального развития</w:t>
      </w:r>
      <w:r>
        <w:rPr>
          <w:szCs w:val="28"/>
        </w:rPr>
        <w:t xml:space="preserve">, отдела опеки и попечительства</w:t>
      </w:r>
      <w:r>
        <w:rPr>
          <w:szCs w:val="28"/>
        </w:rPr>
        <w:t xml:space="preserve"> и отдела физической культуры и спорта</w:t>
      </w:r>
      <w:r>
        <w:rPr>
          <w:szCs w:val="28"/>
        </w:rPr>
        <w:t xml:space="preserve"> администрации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края, а также соисполнителей.</w:t>
      </w:r>
      <w:r>
        <w:rPr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8"/>
        <w:jc w:val="center"/>
        <w:rPr>
          <w:szCs w:val="28"/>
        </w:rPr>
      </w:pPr>
      <w:r>
        <w:rPr>
          <w:szCs w:val="28"/>
        </w:rPr>
        <w:t xml:space="preserve">Раздел 6. Сведения об объемах средств городского округа, планируемых для направления на развитие инновационной деятельности в Петровском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округе Ставропольского края в рамках реализации Программы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В рамках реализации Программы не предусмотрены мероприятия инновационного характера.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spacing w:line="240" w:lineRule="exact"/>
        <w:jc w:val="both"/>
        <w:rPr>
          <w:szCs w:val="28"/>
        </w:rPr>
      </w:pPr>
      <w:r>
        <w:rPr>
          <w:szCs w:val="28"/>
        </w:rPr>
        <w:t xml:space="preserve">Н</w:t>
      </w:r>
      <w:r>
        <w:rPr>
          <w:szCs w:val="28"/>
        </w:rPr>
        <w:t xml:space="preserve">ачальник отдела </w:t>
      </w:r>
      <w:r>
        <w:rPr>
          <w:szCs w:val="28"/>
        </w:rPr>
      </w:r>
    </w:p>
    <w:p>
      <w:pPr>
        <w:pStyle w:val="User"/>
        <w:spacing w:line="240" w:lineRule="exact"/>
        <w:jc w:val="both"/>
        <w:rPr>
          <w:szCs w:val="28"/>
        </w:rPr>
      </w:pPr>
      <w:r>
        <w:rPr>
          <w:szCs w:val="28"/>
        </w:rPr>
        <w:t xml:space="preserve">с</w:t>
      </w:r>
      <w:r>
        <w:rPr>
          <w:szCs w:val="28"/>
        </w:rPr>
        <w:t xml:space="preserve">оциального</w:t>
      </w:r>
      <w:r>
        <w:rPr>
          <w:szCs w:val="28"/>
        </w:rPr>
        <w:t xml:space="preserve"> </w:t>
      </w:r>
      <w:r>
        <w:rPr>
          <w:szCs w:val="28"/>
        </w:rPr>
        <w:t xml:space="preserve">развития администрации </w:t>
      </w:r>
      <w:r>
        <w:rPr>
          <w:szCs w:val="28"/>
        </w:rPr>
      </w:r>
    </w:p>
    <w:p>
      <w:pPr>
        <w:pStyle w:val="User"/>
        <w:spacing w:line="240" w:lineRule="exact"/>
        <w:jc w:val="both"/>
        <w:rPr>
          <w:szCs w:val="28"/>
        </w:rPr>
      </w:pPr>
      <w:r>
        <w:rPr>
          <w:szCs w:val="28"/>
        </w:rPr>
        <w:t xml:space="preserve">Петровского</w:t>
      </w:r>
      <w:r>
        <w:rPr>
          <w:szCs w:val="28"/>
        </w:rPr>
        <w:t xml:space="preserve"> </w:t>
      </w:r>
      <w:r>
        <w:rPr>
          <w:szCs w:val="28"/>
        </w:rPr>
        <w:t xml:space="preserve">городского округа</w:t>
      </w:r>
      <w:r>
        <w:rPr>
          <w:szCs w:val="28"/>
        </w:rPr>
      </w:r>
    </w:p>
    <w:p>
      <w:pPr>
        <w:pStyle w:val="User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          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</w:t>
      </w:r>
      <w:r>
        <w:rPr>
          <w:szCs w:val="28"/>
        </w:rPr>
        <w:t xml:space="preserve">А.В. Ганжа</w:t>
      </w:r>
      <w:r>
        <w:rPr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>
          <w:type w:val="nextPage"/>
          <w:pgSz w:w="11906" w:h="16838"/>
          <w:pgMar w:top="1134" w:right="624" w:bottom="1134" w:left="1985" w:header="0" w:footer="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</w:t>
      </w:r>
    </w:p>
    <w:p>
      <w:pPr>
        <w:pStyle w:val="Normal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планируемых объемов ресурсов на реализацию муниципальной программы</w:t>
      </w:r>
    </w:p>
    <w:p>
      <w:pPr>
        <w:pStyle w:val="Normal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197" w:type="dxa"/>
        <w:tblInd w:w="-8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2699"/>
        <w:gridCol w:w="7227"/>
        <w:gridCol w:w="140"/>
        <w:gridCol w:w="3563"/>
      </w:tblGrid>
      <w:tr>
        <w:trPr>
          <w:trHeight w:val="135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основного мероприятия подпрограммы Программы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планируемых ресурсов с учетом прогнозируемого уровня инфляции и иных факторов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средств бюджета Петровского муниципального района Ставропольского края (далее – бюджет округа)  </w:t>
            </w:r>
          </w:p>
        </w:tc>
      </w:tr>
      <w:tr>
        <w:trPr>
          <w:trHeight w:val="111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</w:tr>
      <w:tr>
        <w:trPr>
          <w:trHeight w:val="516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«Развитие физической культуры и спорта, пропаганда здорового образа жизни»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мероприятий</w:t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6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Cambria" w:cs="Times New Roman"/>
                <w:color w:val="000000"/>
              </w:rPr>
              <w:t xml:space="preserve">В рамках данного основного мероприятия планируется </w:t>
            </w:r>
            <w:r>
              <w:rPr>
                <w:rFonts w:ascii="Times New Roman" w:hAnsi="Times New Roman" w:eastAsia="Lucida Sans Unicode" w:cs="Times New Roman"/>
                <w:color w:val="000000"/>
              </w:rPr>
              <w:t xml:space="preserve">участие спортсменов и команд Петровского </w:t>
            </w:r>
            <w:r>
              <w:rPr>
                <w:rFonts w:ascii="Times New Roman" w:hAnsi="Times New Roman"/>
              </w:rPr>
              <w:t xml:space="preserve">муниципального</w:t>
            </w:r>
            <w:r>
              <w:rPr>
                <w:rFonts w:ascii="Times New Roman" w:hAnsi="Times New Roman" w:eastAsia="Lucida Sans Unicode" w:cs="Times New Roman"/>
                <w:color w:val="000000"/>
              </w:rPr>
              <w:t xml:space="preserve"> округа в муниципальных, региональных, межрегиональных, всероссийских соревнованиях (чемпионатах, первенствах, турнирах и др.), организация мероприятий по сдаче жителями Петровского </w:t>
            </w:r>
            <w:r>
              <w:rPr>
                <w:rFonts w:ascii="Times New Roman" w:hAnsi="Times New Roman"/>
              </w:rPr>
              <w:t xml:space="preserve">муниципального</w:t>
            </w:r>
            <w:r>
              <w:rPr>
                <w:rFonts w:ascii="Times New Roman" w:hAnsi="Times New Roman" w:eastAsia="Lucida Sans Unicode" w:cs="Times New Roman"/>
                <w:color w:val="000000"/>
              </w:rPr>
              <w:t xml:space="preserve"> округа н</w:t>
            </w:r>
            <w:r>
              <w:rPr>
                <w:rFonts w:ascii="Times New Roman" w:hAnsi="Times New Roman" w:cs="Times New Roman"/>
                <w:color w:val="000000"/>
              </w:rPr>
              <w:t xml:space="preserve">орм Всероссийского комплекса «Готов к труду и обороне» (ГТО), приобретение спортивно-туристского и военно-прикладного инвентаря для укрепления материально-технической базы физической культуры и спорта в Петровском </w:t>
            </w:r>
            <w:r>
              <w:rPr>
                <w:rFonts w:ascii="Times New Roman" w:hAnsi="Times New Roman"/>
              </w:rPr>
              <w:t xml:space="preserve">муниципально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округе.</w:t>
            </w:r>
          </w:p>
          <w:p>
            <w:pPr>
              <w:pStyle w:val="Normal"/>
              <w:widowControl w:val="off"/>
              <w:spacing w:after="0" w:line="240" w:lineRule="auto"/>
              <w:ind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финансирование данного мероприятия на 2021 - 2026 годы необходимо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править из бюджета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5800,5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 - 1216,75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- 916,75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- 916,7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916,75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916,75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916,75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спортивных учреждений</w:t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Lucida Sans Unicode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sz w:val="24"/>
                <w:szCs w:val="24"/>
              </w:rPr>
              <w:t xml:space="preserve">Реализация мероприятия направлена на выплату заработной платы персоналу, уплату налогов, расходы на коммунальные и другие виды услуг спортивных учреждений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eastAsia="Lucida Sans Unicode"/>
                <w:sz w:val="24"/>
                <w:szCs w:val="24"/>
              </w:rPr>
              <w:t xml:space="preserve"> округа.</w:t>
            </w:r>
          </w:p>
          <w:p>
            <w:pPr>
              <w:pStyle w:val="Normal"/>
              <w:widowControl w:val="off"/>
              <w:spacing w:after="0" w:line="240" w:lineRule="auto"/>
              <w:ind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финансирование данного мероприятия в бюджете округа на 2021 - 2026 годы предусмотр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ены средства в размере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163003,06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24110,79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26247,35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27971,46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28055,38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28219,46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28398,62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4"/>
                <w:szCs w:val="24"/>
              </w:rPr>
              <w:t xml:space="preserve">Пропаганда физической культуры и спорта в Петровском городском округе</w:t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Lucida Sans Unicode"/>
                <w:sz w:val="24"/>
                <w:szCs w:val="24"/>
              </w:rPr>
            </w:pPr>
            <w:r>
              <w:rPr>
                <w:rFonts w:ascii="Times New Roman" w:hAnsi="Times New Roman" w:eastAsia="Cambria"/>
              </w:rPr>
              <w:t xml:space="preserve">В рамках данного основного мероприятия планируется освещать деятельность </w:t>
            </w:r>
            <w:r>
              <w:rPr>
                <w:rFonts w:ascii="Times New Roman" w:hAnsi="Times New Roman" w:eastAsia="Lucida Sans Unicode"/>
                <w:sz w:val="24"/>
                <w:szCs w:val="24"/>
              </w:rPr>
              <w:t xml:space="preserve">спортивных учреждений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eastAsia="Lucida Sans Unicode"/>
                <w:sz w:val="24"/>
                <w:szCs w:val="24"/>
              </w:rPr>
              <w:t xml:space="preserve"> округа в газете «Петровские вести», на официальных сайтах и в аккаунтах социальных сетей администрации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eastAsia="Lucida Sans Unicode"/>
                <w:sz w:val="24"/>
                <w:szCs w:val="24"/>
              </w:rPr>
              <w:t xml:space="preserve"> округа и спортивных учреждений.</w:t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не предусмотрено</w:t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данного основного мероприятия подпрограммы предполагается строительство и реконструкция спортивных объектов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округа.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работы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обустройству комплексной спортивной площадки по ул. Красная в селе Ореховка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Петровского городского круга.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В 2023 году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«Обустройство беговых легкоатлетических дорожек на территории стадиона в селе Донская Балка Петровского городского округа Ставропольского края». «Благоустройство территории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края». В 2024 году запланировано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«Устройство комплексной спортивной площадки по пер. Школьному, 2 в селе Донская Балка Петровского муниципального округа Ставропольского края».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auto"/>
              <w:ind w:firstLine="662"/>
              <w:jc w:val="both"/>
              <w:rPr>
                <w:rFonts w:ascii="Times New Roman" w:hAnsi="Times New Roman" w:eastAsia="Cambr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финансирование данного мероприятия на 2021 - 2026 годы необходимо нап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17111,42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из 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бюджета окру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,52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участников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062,90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рублей.</w:t>
            </w:r>
            <w:r>
              <w:rPr>
                <w:rFonts w:ascii="Times New Roman" w:hAnsi="Times New Roman" w:eastAsia="Cambria"/>
                <w:color w:val="ff0000"/>
                <w:sz w:val="24"/>
                <w:szCs w:val="24"/>
              </w:rPr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- 31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426,74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798,87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 0,00 тысяч рублей;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 0,00 тысяч рублей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410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комплексных спортивных площадок в сельских населённых пунктах</w:t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реализации данного мероприятия предполагается строительство комплексных спортивных площадок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Донская Балка и пос. Рогатая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округа. В 2021 году запланирована подготовка документации для включения в подпрограмму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Ставропольского края от 28 декабря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г. № 620-п.,</w:t>
            </w:r>
            <w:r>
              <w:rPr>
                <w:rFonts w:ascii="Times New Roman" w:hAnsi="Times New Roman" w:eastAsia="Lucida Sans Unicode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строительство комплексных спортивных площадок в с. Донская Балка и пос. Рогатая Балка Петровского городского округа в 2022 году.</w:t>
            </w:r>
          </w:p>
          <w:p>
            <w:pPr>
              <w:pStyle w:val="Normal"/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финансирование данного мероприятия на 2021 - 2026 годы необходимо направить из бюджета округа 0,00 тыс. рублей</w:t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0,00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- 0,00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 0,00 тысяч рублей;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 0,00 тысяч рублей</w:t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данного мероприятия предполагается реконструкция муниципального казенного учреждения «Светлоградский городской стадион». В настоящее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средства из бюджетов всех уровней на реализацию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направить из бюджета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450,00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 0,00 тысяч рублей;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 0,00 тысяч рублей</w:t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данного мероприятия предполагается: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благоустройство комплексной спортивной площадки в с. Николина Балка Петровского городского округа Ставропольского края;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устройство ограждения баскетбольной площадки на территории стадиона, расположенного по адресу: Ставропольский край, Петровский район, село Донская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благоустройство территории, прилегающей к спортивному залу села Благодатное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необходимо 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15520,19 тыс.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5169,11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5240,96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5401,82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 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 0,00 тысяч рублей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«Спорт -  норма жизни»</w:t>
            </w:r>
            <w:r>
              <w:rPr>
                <w:sz w:val="24"/>
                <w:szCs w:val="24"/>
              </w:rPr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данного мероприятия предполагается реконструкция муниципального казенного учреждения «Светлоградский городской стадион». В настоящее время выделены средства из бюджетов всех уровней на реализацию проекта.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необходимо направить из бюджета округа 259984,25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0,00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- 179690,14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 80294,11тысяч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 0,00 тысяч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72"/>
        </w:trPr>
        <w:tc>
          <w:tcPr>
            <w:tcW w:w="1419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комплекса праздничных, культурно-массовых мероприятий и дней памяти для различных групп населения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Проведение мероприятий, приуроченных к праздничным календарным дням</w:t>
            </w:r>
          </w:p>
        </w:tc>
        <w:tc>
          <w:tcPr>
            <w:tcW w:w="7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данного мероприятия будут организованы и проведены массовые мероприятия для различных групп населения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 в том числе мероприятия, посвященные Дням воинской славы и памятным датам России, мероприятия, посвященные Дню  народного единства.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направить из бюджета округа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3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20,00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72,25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- 3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тысяч рублей;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тысяч рублей</w:t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в области социальной политики</w:t>
            </w:r>
          </w:p>
        </w:tc>
        <w:tc>
          <w:tcPr>
            <w:tcW w:w="7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данного мероприятия направлена на проведение мероприятий по укреплению семейных ценностей, поддержку института семьи, в том числе мероприятия, посвященные Дню любви, семьи и верности, благотворительные рождественские мероприятия, поздравления долгожителей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поздравления с юбилейными и праздничными датами жителей и организации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округа.  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необходимо направить из бюджета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1015,25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3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</w:tc>
      </w:tr>
      <w:tr>
        <w:trPr>
          <w:trHeight w:val="668"/>
        </w:trPr>
        <w:tc>
          <w:tcPr>
            <w:tcW w:w="1419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«Молодежь – будущее Петровского городского округа»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2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740" w:leader="none"/>
              </w:tabs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гражданственности и патриотизма у молодёжи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7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данного мероприятия предусматривает: 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организацию и проведение мероприятий по патриотическому воспитанию детей и молодежи, в том числе окружные мероприятия по формированию активной гражданской позиции у детей и молодежи, предупреждению правонарушений и антиобщественных действий молодежи;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участия молодежных делегаций в мероприятиях разных уровней, в том числе победителей окружных этапов конкурсов в краевых, федеральных этапах, а так же участие молодежи округа в молодёжном форуме Северо-Кавказского федерального округа «Машук»;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оказание поддержки деятельности молодежных общественных объединений;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деятельности МЦ «Импульс», в том числе выплата заработной платы, оплата услуг связи и услуг по содержанию имущества, а также прочие расходы.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из бюджета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18339,47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3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2645,52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3012,67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3324,88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3118,80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3118,80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3118,80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2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sz w:val="24"/>
                <w:szCs w:val="24"/>
              </w:rPr>
              <w:t xml:space="preserve">Пропаганда волонтёрского движения среди молодёжи  Петровского городского округа</w:t>
            </w:r>
          </w:p>
        </w:tc>
        <w:tc>
          <w:tcPr>
            <w:tcW w:w="7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реализации данного мероприятия волонтерами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будут организованы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уровней, пропаганда волонтёрского движения будет осуществляться через средства массовой информации и информационно-телекоммуникационную сеть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не предусмотрено</w:t>
            </w:r>
          </w:p>
        </w:tc>
      </w:tr>
      <w:tr>
        <w:trPr>
          <w:trHeight w:val="601"/>
        </w:trPr>
        <w:tc>
          <w:tcPr>
            <w:tcW w:w="1419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Подпрограмма  «Поддержка социально ориентированных некоммерческих организаций»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3770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для СО НКО </w:t>
            </w:r>
          </w:p>
        </w:tc>
        <w:tc>
          <w:tcPr>
            <w:tcW w:w="7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данного мероприятия предусматривает: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- приобретение билетов для членов СО НКО на культурные мероприятия, театрализованные представления, в кинотеатр;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- поздравление и приглашение членов СО НКО на мероприятия, проводимые в рамках празднования общегосударственных праздников и праздников городского округа;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  <w:tab/>
              <w:t xml:space="preserve">- проведение мероприятий для СО НКО, в том числе зональный фестиваль художественного и декоративного творчества людей с инвалидностью «Солнечный ветер», ежегодный межрайонный фестиваль творчества людей с инвалидностью «Радуга».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финансирование данного мероприятия на 2021 - 2026 годы необходимо направить из бюджета округа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</w:t>
            </w:r>
          </w:p>
        </w:tc>
        <w:tc>
          <w:tcPr>
            <w:tcW w:w="3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-40,00 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- 40,00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- 48,00 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40,00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- 40,00 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- 40,00 тысяч рублей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имущественной, финансовой и консультационной поддержки СО НКО</w:t>
            </w:r>
          </w:p>
        </w:tc>
        <w:tc>
          <w:tcPr>
            <w:tcW w:w="7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мероприятия осуществляется:</w:t>
            </w:r>
          </w:p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в пользование СО НКО муниципальных помещений на безвозмездной основе.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нормативной правовой базы, разработка и принятие муниципальных правовых актов, обеспечивающих создание благоприятной среды для реализации уставной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НКО; </w:t>
            </w:r>
          </w:p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выделение субсидий из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 на основе решения конкурсной комиссии по отбору программ мероприятий, проводимых СО НКО на территории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округа;</w:t>
            </w:r>
          </w:p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консультация по вопросам взаимодействия с органами местного самоуправления, а также о реализации мер по поддержке СО НКО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округе.</w:t>
            </w:r>
          </w:p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формирование механизмов социального партнерства в округе, повышения уровня информированности населения округа о деятельности СОНКО.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необходимо направить из бюджета округа  600,00 тыс. рублей</w:t>
            </w:r>
          </w:p>
        </w:tc>
        <w:tc>
          <w:tcPr>
            <w:tcW w:w="3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в период с 2021года по 2026 год включительно 100,00 тыс. рублей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0"/>
        </w:trPr>
        <w:tc>
          <w:tcPr>
            <w:tcW w:w="1419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«Реализация полномочий по опеке и попечительству»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780" w:leader="none"/>
              </w:tabs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мероприятия осуществляется:</w:t>
            </w:r>
          </w:p>
          <w:p>
            <w:pPr>
              <w:pStyle w:val="Normal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обеспечение своевременного выявления лиц, нуждающихся в установлении над ними опеки или попечительства, и их устройства;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- контроль за сохранностью имущества и управлением имуществом граждан;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- надзор за деятельностью опекунов и попечителей;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выплата денежных средств на содержание ребенка опекуну (попечителю);</w:t>
            </w:r>
          </w:p>
          <w:p>
            <w:pPr>
              <w:pStyle w:val="Normal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выплаты на содержание детей-сирот и детей, оставшихся без попечения родителей, в приемных семьях, а также на вознаграждение причитающееся приемным родителям;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выплаты единовременного пособия усыновителям.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необходимо направить из бюджета округа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81553,95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11987,57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12851,23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12923,71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14073,60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14590,18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15127,66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</w:pPr>
            <w:r>
              <w:rPr>
                <w:rFonts w:ascii="Times New Roman" w:hAnsi="Times New Roman" w:eastAsia="Cambria"/>
                <w:sz w:val="24"/>
                <w:szCs w:val="24"/>
                <w:lang w:val="en-US" w:eastAsia="ar-SA"/>
              </w:rPr>
              <w:t xml:space="preserve">1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  <w:t xml:space="preserve">5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961" w:leader="none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7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мероприятия осуществляется:</w:t>
            </w:r>
          </w:p>
          <w:p>
            <w:pPr>
              <w:pStyle w:val="Normal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обеспечение своевременного выявления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недееспособных или ограниченно дееспособных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лиц, нуждающихся в установлении над ними опеки, и их устройства;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- контроль за сохранностью имущества и управлением имуществом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недееспособных или ограниченно дееспособных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граждан;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- контроль условий жизни опекаемых лиц.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не предусмотрено</w:t>
            </w:r>
          </w:p>
        </w:tc>
      </w:tr>
      <w:tr>
        <w:trPr>
          <w:trHeight w:val="925"/>
        </w:trPr>
        <w:tc>
          <w:tcPr>
            <w:tcW w:w="1419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реализации муниципальной программы Петровского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округа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Ставропольского края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развитие»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8"/>
        </w:trPr>
        <w:tc>
          <w:tcPr>
            <w:tcW w:w="5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7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мероприятия осуществляется:</w:t>
            </w:r>
          </w:p>
          <w:p>
            <w:pPr>
              <w:pStyle w:val="Normal"/>
              <w:widowControl w:val="o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выплата заработной платы сотрудникам отдела опеки и попечительства и отдела физической культуры и спорта;</w:t>
            </w:r>
          </w:p>
          <w:p>
            <w:pPr>
              <w:pStyle w:val="Normal"/>
              <w:widowControl w:val="o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и осуществление деятельности по опеке и попечительству в области здравоохранения;</w:t>
            </w:r>
          </w:p>
          <w:p>
            <w:pPr>
              <w:pStyle w:val="Normal"/>
              <w:widowControl w:val="o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расходов на организацию и осуществление деятельности по опеке и попечительству в области образования.</w:t>
            </w:r>
          </w:p>
          <w:p>
            <w:pPr>
              <w:pStyle w:val="UserStyle_2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необходимо направить из бюджета округа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8655,67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</w:tc>
        <w:tc>
          <w:tcPr>
            <w:tcW w:w="3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5608,08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6112,95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6729,70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6734,98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6734,98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рублей;</w:t>
            </w:r>
          </w:p>
          <w:p>
            <w:pPr>
              <w:pStyle w:val="Normal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рублей</w:t>
            </w:r>
          </w:p>
          <w:p>
            <w:pPr>
              <w:pStyle w:val="Normal"/>
              <w:widowControl w:val="off"/>
              <w:tabs>
                <w:tab w:val="left" w:pos="5698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</w:r>
      <w:r>
        <w:rPr>
          <w:b/>
          <w:sz w:val="24"/>
          <w:szCs w:val="24"/>
        </w:rPr>
        <w:tab/>
        <w:tab/>
        <w:tab/>
        <w:tab/>
        <w:tab/>
        <w:tab/>
      </w:r>
      <w:r>
        <w:rPr>
          <w:b/>
          <w:sz w:val="24"/>
          <w:szCs w:val="24"/>
        </w:rPr>
        <w:tab/>
        <w:tab/>
        <w:tab/>
        <w:tab/>
        <w:tab/>
        <w:t xml:space="preserve">Приложение 2</w:t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основных мерах правового регулирования в сфере реализации Программы</w:t>
      </w:r>
    </w:p>
    <w:p>
      <w:pPr>
        <w:pStyle w:val="Us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317" w:type="dxa"/>
        <w:tblInd w:w="62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40"/>
        <w:gridCol w:w="7"/>
        <w:gridCol w:w="2147"/>
        <w:gridCol w:w="5953"/>
        <w:gridCol w:w="3544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pStyle w:val="Us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нормативного правового акта</w:t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положения нормативного правового акта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соисполнитель Программы, подпрограммы Программы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сроки принятия нормативного правового акта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317" w:type="dxa"/>
            <w:gridSpan w:val="6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«Развитие физической культуры и спорта, пропаганда здорового образа жизни»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Петровского городского </w:t>
            </w:r>
            <w:r>
              <w:rPr>
                <w:sz w:val="24"/>
                <w:szCs w:val="24"/>
              </w:rPr>
              <w:t xml:space="preserve">округа </w:t>
            </w:r>
            <w:r>
              <w:rPr>
                <w:sz w:val="24"/>
                <w:szCs w:val="24"/>
              </w:rPr>
              <w:t xml:space="preserve">Ставропольского края (далее – администрации округа)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а</w:t>
            </w:r>
            <w:r>
              <w:rPr>
                <w:sz w:val="24"/>
                <w:szCs w:val="24"/>
              </w:rPr>
              <w:t xml:space="preserve">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услуги </w:t>
            </w:r>
            <w:r>
              <w:rPr>
                <w:bCs/>
                <w:sz w:val="24"/>
                <w:szCs w:val="24"/>
              </w:rPr>
              <w:t xml:space="preserve">«Присвоение спортивных разрядов «второй спортивный разряд», «третий спортивный разряд» </w:t>
            </w:r>
            <w:r>
              <w:rPr>
                <w:sz w:val="24"/>
                <w:szCs w:val="24"/>
              </w:rPr>
              <w:t xml:space="preserve">устанавливает сроки и последовательность административных процедур (действий) администрации и должностных лиц администрации при осуществлении полномочий по предоставлению муниципальной услуги, порядок взаимодействия должностных лиц администрации с заявителями</w:t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физической культуры и спорта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услуги </w:t>
            </w:r>
            <w:r>
              <w:rPr>
                <w:bCs/>
                <w:sz w:val="24"/>
                <w:szCs w:val="24"/>
              </w:rPr>
              <w:t xml:space="preserve">«Присвоение квалификационных категорий спортивного судьи </w:t>
            </w:r>
            <w:r>
              <w:rPr>
                <w:sz w:val="24"/>
                <w:szCs w:val="24"/>
              </w:rPr>
              <w:t xml:space="preserve">«спортивный судья второй категории», «спортивный судья третьей категории» устанавливает сроки и последовательность административных процедур (действий) администрации и должностных лиц администрации при осуществлении полномочий по предоставлению муниципальной услуги, порядок взаимодействия должностных лиц администрации с заявителями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317" w:type="dxa"/>
            <w:gridSpan w:val="6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«</w:t>
            </w:r>
            <w:r>
              <w:rPr>
                <w:b/>
                <w:sz w:val="24"/>
                <w:szCs w:val="24"/>
                <w:lang w:eastAsia="ru-RU"/>
              </w:rPr>
              <w:t xml:space="preserve">Поддержка социально ориентированных некоммерческих организаций</w:t>
            </w:r>
            <w:r>
              <w:rPr>
                <w:b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округа</w:t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Порядок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 в рамках подпрограммы «Поддержка социально ориентированных некоммерческих организаций» муниципальной программы Петровского городского округа Ставропольского края «Социальное развитие» на реализацию деятельности по патриотическому, духовно-нравственному, гражданскому воспитанию личности на территории Петровского городского округа Ставропольского края»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317" w:type="dxa"/>
            <w:gridSpan w:val="6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Реализация полномочий по опеке и попечительству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»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обеспечения или возмещение их полной стоимости»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основным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</w:t>
            </w:r>
            <w:r>
              <w:rPr>
                <w:sz w:val="24"/>
                <w:szCs w:val="24"/>
                <w:lang w:eastAsia="ru-RU"/>
              </w:rPr>
              <w:t xml:space="preserve"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</w:t>
            </w:r>
            <w:r>
              <w:rPr>
                <w:rStyle w:val="UserStyle_13"/>
                <w:szCs w:val="28"/>
              </w:rPr>
              <w:t xml:space="preserve">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</w:t>
            </w:r>
            <w:r>
              <w:rPr>
                <w:rStyle w:val="UserStyle_13"/>
                <w:szCs w:val="28"/>
              </w:rPr>
              <w:t xml:space="preserve">Выдача в соответствии с Федеральным законом от 24 апреля 2008 года №</w:t>
            </w:r>
            <w:r>
              <w:rPr>
                <w:rStyle w:val="UserStyle_14"/>
                <w:szCs w:val="28"/>
              </w:rPr>
              <w:t xml:space="preserve"> </w:t>
            </w:r>
            <w:r>
              <w:rPr>
                <w:rStyle w:val="UserStyle_13"/>
                <w:szCs w:val="28"/>
              </w:rPr>
              <w:t xml:space="preserve">48-ФЗ «Об опеке и попечительстве» разрешений на совершение сделок с имуществом подопечных </w:t>
            </w:r>
            <w:r>
              <w:rPr>
                <w:szCs w:val="28"/>
              </w:rPr>
              <w:t xml:space="preserve">(лица,</w:t>
            </w:r>
            <w:r>
              <w:rPr>
                <w:rStyle w:val="UserStyle_13"/>
                <w:szCs w:val="28"/>
              </w:rPr>
              <w:t xml:space="preserve"> признанные в установленном законом порядке недееспособными)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</w:t>
            </w:r>
            <w:r>
              <w:rPr>
                <w:rStyle w:val="UserStyle_13"/>
                <w:szCs w:val="28"/>
              </w:rPr>
              <w:t xml:space="preserve">Выдача в соответствии с Федеральным законом от 24 апреля 2008 года №</w:t>
            </w:r>
            <w:r>
              <w:rPr>
                <w:rStyle w:val="UserStyle_14"/>
                <w:szCs w:val="28"/>
              </w:rPr>
              <w:t xml:space="preserve"> </w:t>
            </w:r>
            <w:r>
              <w:rPr>
                <w:rStyle w:val="UserStyle_13"/>
                <w:szCs w:val="28"/>
              </w:rPr>
              <w:t xml:space="preserve">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</w:t>
            </w:r>
            <w:r>
              <w:rPr>
                <w:rStyle w:val="UserStyle_13"/>
                <w:szCs w:val="28"/>
              </w:rPr>
              <w:t xml:space="preserve">Назначение и выплата единовременного пособия усыновителям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7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147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rStyle w:val="UserStyle_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округа </w:t>
            </w:r>
            <w:r>
              <w:rPr>
                <w:rStyle w:val="UserStyle_11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 xml:space="preserve">услуги «</w:t>
            </w:r>
            <w:r>
              <w:rPr>
                <w:sz w:val="24"/>
                <w:szCs w:val="24"/>
                <w:lang w:eastAsia="ru-RU"/>
              </w:rPr>
              <w:t xml:space="preserve">Обучение детей-сирот и детей, оставшихся без попечения родителей, лиц из числа детей-сирот и детей, оставшихся без попечения родителей, на подготовительных отделениях образовательных организаций высшего образования Ставропольского края </w:t>
            </w:r>
            <w:r>
              <w:rPr>
                <w:rStyle w:val="UserStyle_13"/>
                <w:sz w:val="24"/>
                <w:szCs w:val="24"/>
              </w:rPr>
              <w:t xml:space="preserve">за счет средств бюджета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правоприменения)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User"/>
        <w:outlineLvl w:val="0"/>
        <w:rPr>
          <w:szCs w:val="28"/>
        </w:rPr>
        <w:sectPr>
          <w:type w:val="nextPage"/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  <w:r>
        <w:rPr>
          <w:szCs w:val="28"/>
        </w:rPr>
      </w:r>
    </w:p>
    <w:tbl>
      <w:tblPr>
        <w:tblW w:w="540" w:type="dxa"/>
        <w:tblInd w:w="-1418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40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c>
          <w:tcPr>
            <w:tcW w:w="5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outlineLvl w:val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User"/>
        <w:ind w:firstLine="708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3 </w:t>
      </w:r>
    </w:p>
    <w:p>
      <w:pPr>
        <w:pStyle w:val="UserStyle_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UserStyle_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источнике информации и методике расчета</w:t>
      </w:r>
    </w:p>
    <w:p>
      <w:pPr>
        <w:pStyle w:val="UserStyle_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индикаторов достижения целей Программы и показателей решения задач подпрограмм Программы</w:t>
      </w:r>
    </w:p>
    <w:p>
      <w:pPr>
        <w:pStyle w:val="UserStyle_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18" w:type="dxa"/>
        <w:jc w:val="center"/>
        <w:tblInd w:w="-18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87"/>
        <w:gridCol w:w="11"/>
        <w:gridCol w:w="14"/>
        <w:gridCol w:w="2868"/>
        <w:gridCol w:w="26"/>
        <w:gridCol w:w="9"/>
        <w:gridCol w:w="1041"/>
        <w:gridCol w:w="3260"/>
        <w:gridCol w:w="1702"/>
      </w:tblGrid>
      <w:tr>
        <w:trPr>
          <w:trHeight w:val="184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2882" w:type="dxa"/>
            <w:gridSpan w:val="2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076" w:type="dxa"/>
            <w:gridSpan w:val="3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3260" w:type="dxa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информации (методика расчета) </w:t>
            </w:r>
            <w:r>
              <w:fldChar w:fldCharType="begin"/>
            </w:r>
            <w:r>
              <w:instrText xml:space="preserve">HYPERLINK \l "P1345"</w:instrText>
            </w:r>
            <w:r>
              <w:fldChar w:fldCharType="separate"/>
            </w:r>
            <w:r>
              <w:rPr>
                <w:sz w:val="24"/>
                <w:szCs w:val="24"/>
              </w:rPr>
              <w:t xml:space="preserve">&lt;11&gt;</w:t>
            </w:r>
            <w:r>
              <w:fldChar w:fldCharType="end"/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  <w:r>
              <w:fldChar w:fldCharType="begin"/>
            </w:r>
            <w:r>
              <w:instrText xml:space="preserve">HYPERLINK \l "P1348"</w:instrText>
            </w:r>
            <w:r>
              <w:fldChar w:fldCharType="separate"/>
            </w:r>
            <w:r>
              <w:rPr>
                <w:sz w:val="24"/>
                <w:szCs w:val="24"/>
              </w:rPr>
              <w:t xml:space="preserve">&lt;12&gt;</w:t>
            </w:r>
            <w:r>
              <w:fldChar w:fldCharType="end"/>
            </w: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882" w:type="dxa"/>
            <w:gridSpan w:val="2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076" w:type="dxa"/>
            <w:gridSpan w:val="3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3260" w:type="dxa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702" w:type="dxa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18" w:type="dxa"/>
            <w:gridSpan w:val="9"/>
            <w:textDirection w:val="lrTb"/>
            <w:vAlign w:val="center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Программа Петровского </w:t>
            </w:r>
            <w:r>
              <w:rPr>
                <w:b/>
                <w:sz w:val="24"/>
                <w:szCs w:val="24"/>
              </w:rPr>
              <w:t xml:space="preserve">муниципального</w:t>
            </w:r>
            <w:r>
              <w:rPr>
                <w:b/>
                <w:sz w:val="24"/>
                <w:szCs w:val="24"/>
              </w:rPr>
              <w:t xml:space="preserve"> округа Ставропольского края «Социальное развитие»</w:t>
            </w: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населения, систематически занимающаяся физической культурой и  спортом</w:t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физической культуры и спорта. Рассчитывается по формуле: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  <w:lang w:val="en-US"/>
              </w:rPr>
              <w:t xml:space="preserve">Sx</w:t>
            </w:r>
            <w:r>
              <w:rPr>
                <w:sz w:val="24"/>
                <w:szCs w:val="24"/>
              </w:rPr>
              <w:t xml:space="preserve">100%,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 - численность занимающихся физической культурой, спортом и туризмом на постоянной основе, 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 – общее число жителей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в срок до 25.01.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инициативах;</w:t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Рублей на 1 рубль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Style_2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отдела физической культуры и спорта.</w:t>
            </w:r>
          </w:p>
          <w:p>
            <w:pPr>
              <w:pStyle w:val="UserStyle_2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ассчитывается по формуле: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средства федерального и краевого бюджетов, имеющие целевое назначение (субсидии, субвенции и иные межбюджетные трансферты),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средства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 Ставропольского края, в целях софинансирования которых из краевого бюджета предоставляются субсидии.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Фактическая единовременная пропускная способность имеющихся объектов физической культуры и спорта в округе</w:t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Style_2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отдела физической культуры и спорта. Рассчитывается по формуле: ЕПС= (а + в + с)/ n, где ЕПС - единовременная (нормативная) пропускная способность комплексного спортивного сооружения (комплексной площадки); а, в, с- норматив занимающихся по видам спорта II и I юношеских разрядов; n - количество видов спорта.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в срок до 25.01.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7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W w:w="2893" w:type="dxa"/>
            <w:gridSpan w:val="3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«Спорт – норма жизни»</w:t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Рублей на 1 рубль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Style_2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отдела физической культуры и спорта.</w:t>
            </w:r>
          </w:p>
          <w:p>
            <w:pPr>
              <w:pStyle w:val="UserStyle_2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ассчитывается по формуле: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на реализацию регионального проекта «Спорт – норма жизни»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средства федерального и краевого бюджетов, имеющие целевое назначение (субсидии, субвенции и иные межбюджетные трансферты),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средства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 Ставропольского края, в целях софинансирования которых из краевого бюджета предоставляются субсидии.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в срок до 25 января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UserStyle_2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проведенных праздничных, культурно-массовых мероприятий и дней памяти в сравнении с 2019 годом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МЦ «Импульс». Рассчитывается по формуле: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  <w:lang w:val="en-US"/>
              </w:rPr>
              <w:t xml:space="preserve">Sx</w:t>
            </w:r>
            <w:r>
              <w:rPr>
                <w:sz w:val="24"/>
                <w:szCs w:val="24"/>
              </w:rPr>
              <w:t xml:space="preserve">100%,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 – количество массовых мероприятий, проведенных в отчетном году, 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 – количество массовых мероприятий, проведенных в 2019 году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молодежи, задействованной в мероприятиях в области реализации молодежной политики, в общей численности молодежи</w:t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отдела образования. Рассчитывается по формуле: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  <w:lang w:val="en-US"/>
              </w:rPr>
              <w:t xml:space="preserve">Sx</w:t>
            </w:r>
            <w:r>
              <w:rPr>
                <w:sz w:val="24"/>
                <w:szCs w:val="24"/>
              </w:rPr>
              <w:t xml:space="preserve">100%,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 - численность задействованной в мероприятиях молодёжи, 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 – общая численность молодёжи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социально ориентированных некоммерческих организаций, осуществляющих взаимодействие с органами местного самоуправления</w:t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расчета. Информация отдела социального развития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устроенных под опеку (в том числе помещённых в стационарные организации социального обслуживания) совершеннолетних недееспособных от общего числа лиц, признанных судом недееспособными, а также детей-сирот и детей, оставшихся без попечения родителей, переданных под опеку (попечительство) в приемную семью (помещенных в организации для детей – сирот и детей, оставшихся без попечения родителей) за отчётный период в Петровском муниципальном округе</w:t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опеки и попечительства. Рассчитывается по формуле: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Rоп / Rобщ </w:t>
            </w:r>
            <w:r>
              <w:rPr>
                <w:sz w:val="24"/>
                <w:szCs w:val="24"/>
                <w:lang w:val="en-US"/>
              </w:rPr>
              <w:t xml:space="preserve">x</w:t>
            </w:r>
            <w:r>
              <w:rPr>
                <w:sz w:val="24"/>
                <w:szCs w:val="24"/>
              </w:rPr>
              <w:t xml:space="preserve"> 100%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Rоп- количество устроенных под опеку совершеннолетних недееспособных граждан (в том числе помещенных в стационарные организации социального обслуживания); а также детей-сирот и детей, оставшихся без попечения родителей, переданных под опеку (попечительство) в приемную семью (помещенных в организации для детей – сирот и детей, оставшихся без попечения родителей) за отчётный период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Rобщ.- общее число граждан,  признанных судом недееспособными, а также  детей – сирот и детей, оставшихся без попечения родителей) за отчётный период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18" w:type="dxa"/>
            <w:gridSpan w:val="9"/>
            <w:textDirection w:val="lrTb"/>
            <w:vAlign w:val="top"/>
          </w:tcPr>
          <w:p>
            <w:pPr>
              <w:pStyle w:val="Us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«Развитие физической культуры и спорта, </w:t>
            </w:r>
          </w:p>
          <w:p>
            <w:pPr>
              <w:pStyle w:val="Us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пропаганда здорового образа жизни»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2908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жителей 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округа, систематически занимающегося физической культурой и спортом</w:t>
            </w:r>
          </w:p>
        </w:tc>
        <w:tc>
          <w:tcPr>
            <w:tcW w:w="1050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федерального статистического наблюдения №1-ФК, утвержденная приказом Росстата от    27.03.2019 № 172. Информация отдела физической культуры и спорта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в срок до 25.01.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2908" w:type="dxa"/>
            <w:gridSpan w:val="3"/>
            <w:textDirection w:val="lrTb"/>
            <w:vAlign w:val="top"/>
          </w:tcPr>
          <w:p>
            <w:pPr>
              <w:pStyle w:val="UserStyle_2"/>
              <w:widowControl/>
              <w:ind w:firstLine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проводимых массовых физкультурно-спортивных мероприятий в сравнении с 2019 годом</w:t>
            </w:r>
            <w:r>
              <w:rPr>
                <w:lang w:eastAsia="zh-CN"/>
              </w:rPr>
            </w:r>
          </w:p>
          <w:p>
            <w:pPr>
              <w:pStyle w:val="UserStyle_2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UserStyle_2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UserStyle_2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UserStyle_2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50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физической культуры и спорта. Рассчитывается по формуле: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  <w:lang w:val="en-US"/>
              </w:rPr>
              <w:t xml:space="preserve">Sx</w:t>
            </w:r>
            <w:r>
              <w:rPr>
                <w:sz w:val="24"/>
                <w:szCs w:val="24"/>
              </w:rPr>
              <w:t xml:space="preserve">100%,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 – количество проведенных физкультурно-спортивных мероприятий в отчетном году, 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 – количество проведенных физкультурно-спортивных мероприятий в 2019 году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2908" w:type="dxa"/>
            <w:gridSpan w:val="3"/>
            <w:textDirection w:val="lrTb"/>
            <w:vAlign w:val="top"/>
          </w:tcPr>
          <w:p>
            <w:pPr>
              <w:pStyle w:val="UserStyle_2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принявших участие в реализации инициативных проектов в Петровском муниципальном округе в области физической культуры и спорта за счет средств местного бюджета (нарастающим итогом)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050" w:type="dxa"/>
            <w:gridSpan w:val="2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человек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отдела стратегического планирования.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расчета показателя: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QI=</w:t>
            </w:r>
            <w:r>
              <w:rPr>
                <w:rFonts w:ascii="Times New Roman" w:hAnsi="Times New Roman" w:eastAsia="DejaVu Sans"/>
                <w:color w:val="000000"/>
                <w:sz w:val="32"/>
                <w:szCs w:val="32"/>
              </w:rPr>
              <w:t xml:space="preserve">Σ</w:t>
            </w:r>
            <w:r>
              <w:rPr>
                <w:rFonts w:ascii="Times New Roman" w:hAnsi="Times New Roman" w:eastAsia="DejaVu Sans"/>
                <w:color w:val="000000"/>
                <w:sz w:val="32"/>
                <w:szCs w:val="32"/>
                <w:vertAlign w:val="subscript"/>
              </w:rPr>
              <w:t xml:space="preserve">i</w:t>
            </w:r>
            <w:r>
              <w:rPr>
                <w:rFonts w:ascii="Times New Roman" w:hAnsi="Times New Roman" w:eastAsia="DejaVu Sans"/>
                <w:color w:val="000000"/>
                <w:sz w:val="24"/>
                <w:szCs w:val="24"/>
              </w:rPr>
              <w:t xml:space="preserve">QI</w:t>
            </w:r>
            <w:r>
              <w:rPr>
                <w:rFonts w:ascii="Times New Roman" w:hAnsi="Times New Roman" w:eastAsia="DejaVu Sans"/>
                <w:color w:val="000000"/>
                <w:sz w:val="24"/>
                <w:szCs w:val="24"/>
                <w:vertAlign w:val="subscript"/>
              </w:rPr>
              <w:t xml:space="preserve">i</w:t>
            </w:r>
            <w:r>
              <w:rPr>
                <w:rFonts w:ascii="Times New Roman" w:hAnsi="Times New Roman" w:eastAsia="DejaVu Sans"/>
                <w:color w:val="000000"/>
                <w:sz w:val="24"/>
                <w:szCs w:val="24"/>
              </w:rPr>
              <w:t xml:space="preserve">, где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QI- к</w:t>
            </w:r>
            <w:r>
              <w:rPr>
                <w:rFonts w:ascii="Times New Roman" w:hAnsi="Times New Roman" w:eastAsia="Cambria"/>
                <w:color w:val="030303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граждан, принявших участие в реализации инициативных проектов в Петровском муниципальном округе в области физической культуры и спорта за счет средств местного бюджета</w:t>
            </w:r>
            <w:r>
              <w:rPr>
                <w:rFonts w:ascii="Times New Roman" w:hAnsi="Times New Roman" w:eastAsia="Cambria"/>
                <w:color w:val="030303"/>
                <w:sz w:val="24"/>
                <w:szCs w:val="24"/>
              </w:rPr>
              <w:t xml:space="preserve"> в i-м году, нарастающим итогом, начиная с 2019 года, человек;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ejaVu Sans"/>
                <w:color w:val="030303"/>
                <w:sz w:val="24"/>
                <w:szCs w:val="24"/>
              </w:rPr>
              <w:t xml:space="preserve">Qi</w:t>
            </w:r>
            <w:r>
              <w:rPr>
                <w:rFonts w:ascii="Times New Roman" w:hAnsi="Times New Roman" w:eastAsia="DejaVu Sans"/>
                <w:color w:val="030303"/>
                <w:sz w:val="24"/>
                <w:szCs w:val="24"/>
                <w:vertAlign w:val="subscript"/>
              </w:rPr>
              <w:t xml:space="preserve">i </w:t>
            </w:r>
            <w:r>
              <w:rPr>
                <w:rFonts w:ascii="Times New Roman" w:hAnsi="Times New Roman" w:eastAsia="DejaVu Sans"/>
                <w:color w:val="030303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eastAsia="DejaVu Sans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mbria"/>
                <w:color w:val="030303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граждан, принявших участие в реализации инициативных проектов в Петровском муниципальном округе в области физической культуры и спорта за счет средств местного бюджета</w:t>
            </w:r>
            <w:r>
              <w:rPr>
                <w:rFonts w:ascii="Times New Roman" w:hAnsi="Times New Roman" w:eastAsia="Cambria"/>
                <w:color w:val="030303"/>
                <w:sz w:val="24"/>
                <w:szCs w:val="24"/>
              </w:rPr>
              <w:t xml:space="preserve"> в i-м году, человек;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color w:val="030303"/>
                <w:sz w:val="24"/>
                <w:szCs w:val="24"/>
              </w:rPr>
              <w:t xml:space="preserve">i - годы реализации программы, включая базовые периоды, i — 2019, 2020, 2021, 2022, 2023, 2024, 2025, 2026;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color w:val="030303"/>
                <w:sz w:val="24"/>
                <w:szCs w:val="24"/>
              </w:rPr>
              <w:t xml:space="preserve">базовыми периодами дополнительных показателей являются 2019, 2020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до 25 января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18" w:type="dxa"/>
            <w:gridSpan w:val="9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 «</w:t>
            </w:r>
            <w:r>
              <w:rPr>
                <w:b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b/>
                <w:sz w:val="24"/>
                <w:szCs w:val="24"/>
              </w:rPr>
              <w:t xml:space="preserve">комплекса праздничных, культурно-массовых мероприятий и дней памяти для различных групп населения</w:t>
            </w:r>
            <w:r>
              <w:rPr>
                <w:b/>
                <w:bCs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2908" w:type="dxa"/>
            <w:gridSpan w:val="3"/>
            <w:textDirection w:val="lrTb"/>
            <w:vAlign w:val="top"/>
          </w:tcPr>
          <w:p>
            <w:pPr>
              <w:pStyle w:val="UserStyle_2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жителей округа, принявших участие в социально значимых мероприятиях на территории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от общего числа жителей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050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отдела образования. Рассчитывается по формуле: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  <w:lang w:val="en-US"/>
              </w:rPr>
              <w:t xml:space="preserve">Sx</w:t>
            </w:r>
            <w:r>
              <w:rPr>
                <w:sz w:val="24"/>
                <w:szCs w:val="24"/>
              </w:rPr>
              <w:t xml:space="preserve">100%,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 - численность жителей, принявших участие в мероприятиях в отчетном году, 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 – общая численность жителей округа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18" w:type="dxa"/>
            <w:gridSpan w:val="9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«Молодежь – будущее Петровского городского округа»</w:t>
            </w: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проводимых массовых молодежных мероприятий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 в сравнении с 2019 годом</w:t>
            </w:r>
            <w:r>
              <w:rPr>
                <w:lang w:eastAsia="zh-CN"/>
              </w:rPr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МЦ «Импульс». Рассчитывается по формуле: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  <w:lang w:val="en-US"/>
              </w:rPr>
              <w:t xml:space="preserve">Sx</w:t>
            </w:r>
            <w:r>
              <w:rPr>
                <w:sz w:val="24"/>
                <w:szCs w:val="24"/>
              </w:rPr>
              <w:t xml:space="preserve">100%,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 – количество массовых молодежных мероприятий, проведенных в отчетном году, 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 – количество массовых молодежных мероприятий, проведенных в 2019 году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</w:p>
        </w:tc>
        <w:tc>
          <w:tcPr>
            <w:tcW w:w="2882" w:type="dxa"/>
            <w:gridSpan w:val="2"/>
            <w:textDirection w:val="lrTb"/>
            <w:vAlign w:val="top"/>
          </w:tcPr>
          <w:p>
            <w:pPr>
              <w:pStyle w:val="UserStyle_2"/>
              <w:widowControl/>
              <w:ind w:firstLine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задействованной в добровольческом (волонтерском) движении, в общей численности молодежи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lang w:eastAsia="zh-CN"/>
              </w:rPr>
            </w:r>
          </w:p>
        </w:tc>
        <w:tc>
          <w:tcPr>
            <w:tcW w:w="1076" w:type="dxa"/>
            <w:gridSpan w:val="3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МЦ «Импульс». Рассчитывается по формуле: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  <w:lang w:val="en-US"/>
              </w:rPr>
              <w:t xml:space="preserve">Sx</w:t>
            </w:r>
            <w:r>
              <w:rPr>
                <w:sz w:val="24"/>
                <w:szCs w:val="24"/>
              </w:rPr>
              <w:t xml:space="preserve">100%,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 – количество членов волонтерского движения, зарегистрированных на сайтах волонтеры70.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 xml:space="preserve">kdm</w:t>
            </w:r>
            <w:r>
              <w:rPr>
                <w:sz w:val="24"/>
                <w:szCs w:val="24"/>
              </w:rPr>
              <w:t xml:space="preserve">26.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 в отчетном году, 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 – общая численность молодежи Петровского городского округа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18" w:type="dxa"/>
            <w:gridSpan w:val="9"/>
            <w:textDirection w:val="lrTb"/>
            <w:vAlign w:val="top"/>
          </w:tcPr>
          <w:p>
            <w:pPr>
              <w:pStyle w:val="Us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Подпрограмма «</w:t>
            </w:r>
            <w:r>
              <w:rPr>
                <w:b/>
                <w:sz w:val="24"/>
                <w:szCs w:val="24"/>
              </w:rPr>
              <w:t xml:space="preserve">Поддержка социально ориентированных </w:t>
            </w:r>
          </w:p>
          <w:p>
            <w:pPr>
              <w:pStyle w:val="Us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некоммерческих организаций»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</w:p>
        </w:tc>
        <w:tc>
          <w:tcPr>
            <w:tcW w:w="2908" w:type="dxa"/>
            <w:gridSpan w:val="3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проведенных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 Ставропольского края мероприятий для социально ориентированных некоммерческих организаций (в том числе общественных акций, мероприятий с участием социально ориентированных некоммерческих организаций) по сравнению с 2019 годом</w:t>
            </w:r>
            <w:r>
              <w:rPr>
                <w:lang w:eastAsia="zh-CN"/>
              </w:rPr>
            </w:r>
          </w:p>
        </w:tc>
        <w:tc>
          <w:tcPr>
            <w:tcW w:w="1050" w:type="dxa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 и отдела культуры Рассчитывается по формуле: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  <w:lang w:val="en-US"/>
              </w:rPr>
              <w:t xml:space="preserve">Sx</w:t>
            </w:r>
            <w:r>
              <w:rPr>
                <w:sz w:val="24"/>
                <w:szCs w:val="24"/>
              </w:rPr>
              <w:t xml:space="preserve">100%,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  <w:t xml:space="preserve"> – количество проведенных мероприятий для социально ориентированных некоммерческих организаций в отчетном году, 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 – количество проведенных мероприятий для социально ориентированных некоммерческих организаций в 2019 году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8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</w:p>
        </w:tc>
        <w:tc>
          <w:tcPr>
            <w:tcW w:w="2908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Количество социально ориентированных некоммерческих организаций, получающих имущественную, финансовую и консультационную поддержку</w:t>
            </w:r>
            <w:r>
              <w:rPr>
                <w:lang w:eastAsia="zh-CN"/>
              </w:rPr>
            </w:r>
          </w:p>
        </w:tc>
        <w:tc>
          <w:tcPr>
            <w:tcW w:w="1050" w:type="dxa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расчета. Информация отдела социального развития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18" w:type="dxa"/>
            <w:gridSpan w:val="9"/>
            <w:textDirection w:val="lrTb"/>
            <w:vAlign w:val="top"/>
          </w:tcPr>
          <w:p>
            <w:pPr>
              <w:pStyle w:val="User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Подпрограмма «Реализация полномочий по опеке и попечительству»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12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2903" w:type="dxa"/>
            <w:gridSpan w:val="3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реализованных мер, направленных на защиту прав и законных интересов совершеннолетних недееспособных граждан от общего числа мер, установленных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41" w:type="dxa"/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отдела опеки и попечительства. Рассчитывается по формуле: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реал/</w:t>
            </w: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общ </w:t>
            </w:r>
            <w:r>
              <w:rPr>
                <w:sz w:val="24"/>
                <w:szCs w:val="24"/>
                <w:lang w:val="en-US"/>
              </w:rPr>
              <w:t xml:space="preserve">x</w:t>
            </w:r>
            <w:r>
              <w:rPr>
                <w:sz w:val="24"/>
                <w:szCs w:val="24"/>
              </w:rPr>
              <w:t xml:space="preserve"> 100%, где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Rреал. - количество реализованных мер направленных на защиту прав и законных интересов совершеннолетних недееспособных граждан;</w:t>
            </w:r>
          </w:p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Rобщ.- общее количество мер, направленных на защиту прав и законных интересов совершеннолетних недееспособных граждан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ежегодно</w:t>
            </w:r>
          </w:p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 01 марта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12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2903" w:type="dxa"/>
            <w:gridSpan w:val="3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реализованных мер, направленных на защиту прав и законных интересов несовершеннолетних, от общего числа мер, установленных Законом Ставропольского края от 31.12.2004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04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Процент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опеки и попечительства.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Рассчитывается по формуле: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эф/</w:t>
            </w: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общ </w:t>
            </w:r>
            <w:r>
              <w:rPr>
                <w:sz w:val="24"/>
                <w:szCs w:val="24"/>
                <w:lang w:val="en-US"/>
              </w:rPr>
              <w:t xml:space="preserve">x</w:t>
            </w:r>
            <w:r>
              <w:rPr>
                <w:sz w:val="24"/>
                <w:szCs w:val="24"/>
              </w:rPr>
              <w:t xml:space="preserve"> 100%, где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эф – количество эффективных мер, направленных на защиту прав и законных интересов несовершеннолетних 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общ – общее количество мер, направленных на защиту прав и законных интересов несовершеннолетних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ежеквартально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418" w:type="dxa"/>
            <w:gridSpan w:val="9"/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«Социальное развитие» и общепрограммные мероприятия»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12" w:type="dxa"/>
            <w:gridSpan w:val="3"/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2903" w:type="dxa"/>
            <w:gridSpan w:val="3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Петровского муниципального округа на оплату труда (включая начисления на оплату труда)</w:t>
            </w:r>
          </w:p>
        </w:tc>
        <w:tc>
          <w:tcPr>
            <w:tcW w:w="104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Процент</w:t>
            </w:r>
          </w:p>
        </w:tc>
        <w:tc>
          <w:tcPr>
            <w:tcW w:w="326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отделов физической культуры и спорта, опеки и попечительства.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Рассчитывается по формуле: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кз/</w:t>
            </w: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орот. </w:t>
            </w:r>
            <w:r>
              <w:rPr>
                <w:sz w:val="24"/>
                <w:szCs w:val="24"/>
                <w:lang w:val="en-US"/>
              </w:rPr>
              <w:t xml:space="preserve">x</w:t>
            </w:r>
            <w:r>
              <w:rPr>
                <w:sz w:val="24"/>
                <w:szCs w:val="24"/>
              </w:rPr>
              <w:t xml:space="preserve"> 100%, где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кз – размер кредиторской задолженности  по оплате труда (включая начисления на оплату труда)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</w:t>
            </w:r>
            <w:r>
              <w:rPr>
                <w:sz w:val="24"/>
                <w:szCs w:val="24"/>
              </w:rPr>
              <w:t xml:space="preserve">рот – общий объем расходов Петровского муниципального округа на оплату труда (включая начисления на оплату труда)</w:t>
            </w:r>
          </w:p>
        </w:tc>
        <w:tc>
          <w:tcPr>
            <w:tcW w:w="1702" w:type="dxa"/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ежеквартально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</w:tbl>
    <w:sectPr>
      <w:type w:val="nextPage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ndara">
    <w:panose1 w:val="020F0502020204030204"/>
  </w:font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StarSymbol">
    <w:panose1 w:val="02000603000000000000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4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8" w:hanging="180"/>
      </w:pPr>
    </w:lvl>
  </w:abstractNum>
  <w:abstractNum w:abstractNumId="2">
    <w:multiLevelType w:val="hybridMultilevel"/>
    <w:lvl w:ilvl="0">
      <w:start w:val="11"/>
      <w:numFmt w:val="decimal"/>
      <w:suff w:val="tab"/>
      <w:lvlText w:val="%1."/>
      <w:lvlJc w:val="left"/>
      <w:pPr>
        <w:pStyle w:val="Normal"/>
        <w:ind w:left="1084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8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1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">
    <w:name w:val="Без интервала"/>
    <w:next w:val="User"/>
    <w:link w:val="Normal"/>
    <w:uiPriority w:val="99"/>
    <w:qFormat/>
    <w:rPr>
      <w:rFonts w:ascii="Times New Roman" w:hAnsi="Times New Roman"/>
      <w:sz w:val="28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unhideWhenUsed/>
    <w:rPr>
      <w:color w:val="0000ff"/>
      <w:u w:val="single"/>
    </w:rPr>
  </w:style>
  <w:style w:type="paragraph" w:styleId="UserStyle_2">
    <w:name w:val="ConsPlusNormal"/>
    <w:next w:val="UserStyle_2"/>
    <w:link w:val="Normal"/>
    <w:qFormat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UserStyle_0">
    <w:name w:val="Заголовок 1 Знак"/>
    <w:next w:val="UserStyle_0"/>
    <w:link w:val="Heading1"/>
    <w:rPr>
      <w:rFonts w:ascii="Cambria" w:hAnsi="Cambria" w:eastAsia="Times New Roman"/>
      <w:b/>
      <w:bCs/>
      <w:color w:val="365f91"/>
      <w:sz w:val="28"/>
      <w:szCs w:val="28"/>
    </w:rPr>
  </w:style>
  <w:style w:type="paragraph" w:styleId="Header">
    <w:name w:val="Верхний колонтитул"/>
    <w:basedOn w:val="Normal"/>
    <w:next w:val="Header"/>
    <w:link w:val="UserStyle_3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3">
    <w:name w:val="Верхний колонтитул Знак"/>
    <w:next w:val="UserStyle_3"/>
    <w:link w:val="Header"/>
    <w:uiPriority w:val="99"/>
    <w:semiHidden/>
    <w:rPr>
      <w:rFonts w:eastAsia="Times New Roman"/>
      <w:sz w:val="22"/>
      <w:szCs w:val="22"/>
    </w:rPr>
  </w:style>
  <w:style w:type="paragraph" w:styleId="Footer">
    <w:name w:val="Нижний колонтитул"/>
    <w:basedOn w:val="Normal"/>
    <w:next w:val="Footer"/>
    <w:link w:val="UserStyle_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4">
    <w:name w:val="Нижний колонтитул Знак"/>
    <w:next w:val="UserStyle_4"/>
    <w:link w:val="Footer"/>
    <w:uiPriority w:val="99"/>
    <w:semiHidden/>
    <w:rPr>
      <w:rFonts w:eastAsia="Times New Roman"/>
      <w:sz w:val="22"/>
      <w:szCs w:val="22"/>
    </w:rPr>
  </w:style>
  <w:style w:type="paragraph" w:styleId="UserStyle_5">
    <w:name w:val="ConsPlusTitlePage"/>
    <w:next w:val="UserStyle_5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UserStyle_6">
    <w:name w:val="ConsPlusCell"/>
    <w:next w:val="UserStyle_6"/>
    <w:link w:val="Normal"/>
    <w:rPr>
      <w:rFonts w:ascii="Arial" w:hAnsi="Arial" w:eastAsia="Times New Roman" w:cs="Arial"/>
      <w:lang w:val="ru-RU" w:eastAsia="ru-RU" w:bidi="ar-SA"/>
    </w:rPr>
  </w:style>
  <w:style w:type="character" w:styleId="UserStyle_1">
    <w:name w:val="Заголовок 5 Знак"/>
    <w:next w:val="UserStyle_1"/>
    <w:link w:val="Heading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NavPane">
    <w:name w:val="Схема документа"/>
    <w:basedOn w:val="Normal"/>
    <w:next w:val="NavPane"/>
    <w:link w:val="UserStyle_7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7">
    <w:name w:val="Схема документа Знак"/>
    <w:next w:val="UserStyle_7"/>
    <w:link w:val="NavPan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8"/>
    <w:semiHidden/>
    <w:pPr>
      <w:widowControl w:val="off"/>
      <w:spacing w:after="120" w:line="240" w:lineRule="auto"/>
    </w:pPr>
    <w:rPr>
      <w:rFonts w:ascii="Times New Roman" w:hAnsi="Times New Roman" w:eastAsia="Lucida Sans Unicode"/>
      <w:sz w:val="24"/>
      <w:szCs w:val="20"/>
      <w:lang w:val="en-US" w:eastAsia="en-US"/>
    </w:rPr>
  </w:style>
  <w:style w:type="character" w:styleId="UserStyle_8">
    <w:name w:val="Основной текст Знак"/>
    <w:next w:val="UserStyle_8"/>
    <w:link w:val="BodyText"/>
    <w:semiHidden/>
    <w:rPr>
      <w:rFonts w:ascii="Times New Roman" w:hAnsi="Times New Roman" w:eastAsia="Lucida Sans Unicode"/>
      <w:sz w:val="24"/>
      <w:lang w:eastAsia="en-US"/>
    </w:rPr>
  </w:style>
  <w:style w:type="character" w:styleId="UserStyle_9">
    <w:name w:val="Маркеры списка"/>
    <w:next w:val="UserStyle_9"/>
    <w:link w:val="Normal"/>
    <w:rPr>
      <w:rFonts w:ascii="StarSymbol" w:hAnsi="StarSymbol" w:eastAsia="StarSymbol" w:cs="StarSymbol"/>
      <w:sz w:val="18"/>
      <w:szCs w:val="18"/>
    </w:rPr>
  </w:style>
  <w:style w:type="paragraph" w:styleId="179">
    <w:name w:val="Абзац списка"/>
    <w:basedOn w:val="Normal"/>
    <w:next w:val="179"/>
    <w:link w:val="Normal"/>
    <w:uiPriority w:val="99"/>
    <w:qFormat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paragraph" w:styleId="UserStyle_10">
    <w:name w:val="ConsNormal"/>
    <w:next w:val="UserStyle_10"/>
    <w:link w:val="Normal"/>
    <w:uiPriority w:val="99"/>
    <w:pPr>
      <w:widowControl w:val="off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styleId="UserStyle_11">
    <w:name w:val="Font Style14"/>
    <w:next w:val="UserStyle_11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12">
    <w:name w:val="Font Style49"/>
    <w:next w:val="UserStyle_12"/>
    <w:link w:val="Normal"/>
    <w:uiPriority w:val="99"/>
    <w:rPr>
      <w:rFonts w:ascii="Times New Roman" w:hAnsi="Times New Roman" w:cs="Times New Roman"/>
      <w:sz w:val="24"/>
      <w:szCs w:val="24"/>
    </w:rPr>
  </w:style>
  <w:style w:type="character" w:styleId="UserStyle_13">
    <w:name w:val="Font Style42"/>
    <w:next w:val="UserStyle_13"/>
    <w:link w:val="Normal"/>
    <w:uiPriority w:val="99"/>
    <w:rPr>
      <w:rFonts w:ascii="Times New Roman" w:hAnsi="Times New Roman" w:cs="Times New Roman"/>
      <w:sz w:val="22"/>
      <w:szCs w:val="22"/>
    </w:rPr>
  </w:style>
  <w:style w:type="character" w:styleId="UserStyle_14">
    <w:name w:val="Font Style58"/>
    <w:next w:val="UserStyle_14"/>
    <w:link w:val="Normal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styleId="UserStyle_15">
    <w:name w:val="Style9"/>
    <w:basedOn w:val="Normal"/>
    <w:next w:val="UserStyle_15"/>
    <w:link w:val="Normal"/>
    <w:uiPriority w:val="99"/>
    <w:pPr>
      <w:widowControl w:val="off"/>
      <w:spacing w:after="0" w:line="322" w:lineRule="exact"/>
      <w:ind w:firstLine="706"/>
    </w:pPr>
    <w:rPr>
      <w:rFonts w:cs="Calibri"/>
      <w:sz w:val="24"/>
      <w:szCs w:val="24"/>
    </w:rPr>
  </w:style>
  <w:style w:type="paragraph" w:styleId="UserStyle_16">
    <w:name w:val="Default"/>
    <w:next w:val="UserStyle_16"/>
    <w:link w:val="Normal"/>
    <w:qFormat/>
    <w:rPr>
      <w:rFonts w:ascii="Candara" w:hAnsi="Candara" w:cs="Candara"/>
      <w:color w:val="000000"/>
      <w:sz w:val="24"/>
      <w:szCs w:val="24"/>
      <w:lang w:val="ru-RU" w:eastAsia="en-US" w:bidi="ar-SA"/>
    </w:rPr>
  </w:style>
  <w:style w:type="paragraph" w:styleId="Acetate">
    <w:name w:val="Текст выноски"/>
    <w:basedOn w:val="Normal"/>
    <w:next w:val="Acetate"/>
    <w:link w:val="UserStyle_1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UserStyle_17">
    <w:name w:val="Текст выноски Знак"/>
    <w:next w:val="UserStyle_17"/>
    <w:link w:val="Acetate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43260</Characters>
  <CharactersWithSpaces>50748</CharactersWithSpaces>
  <DocSecurity>0</DocSecurity>
  <HyperlinksChanged>false</HyperlinksChanged>
  <Lines>360</Lines>
  <Pages>26</Pages>
  <Paragraphs>101</Paragraphs>
  <ScaleCrop>false</ScaleCrop>
  <SharedDoc>false</SharedDoc>
  <Template>Normal</Template>
  <Words>7589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хозяйства</dc:creator>
  <cp:lastModifiedBy>getmanskaya</cp:lastModifiedBy>
  <cp:revision>19</cp:revision>
  <dcterms:created xsi:type="dcterms:W3CDTF">2024-03-06T08:08:00Z</dcterms:created>
  <dcterms:modified xsi:type="dcterms:W3CDTF">2024-03-12T14:11:00Z</dcterms:modified>
  <cp:version>786432</cp:version>
</cp:coreProperties>
</file>