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spacing w:line="240" w:lineRule="exact"/>
        <w:ind w:left="11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</w:p>
    <w:p>
      <w:pPr>
        <w:pStyle w:val="Normal"/>
        <w:spacing w:line="240" w:lineRule="exact"/>
        <w:ind w:left="11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 Петровского муниципального округа Ставропольского края «О бюджете Петровского муниципального округа Ставропольского края на 2024 год и плановый период 2025 и 2026 годов»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line="240" w:lineRule="exact"/>
        <w:ind w:firstLine="0"/>
        <w:jc w:val="center"/>
      </w:pPr>
      <w:r>
        <w:rPr>
          <w:b w:val="0"/>
          <w:bCs w:val="0"/>
          <w:i w:val="0"/>
          <w:iCs w:val="0"/>
        </w:rPr>
        <w:t xml:space="preserve">ИСТОЧНИКИ</w:t>
      </w:r>
    </w:p>
    <w:p>
      <w:pPr>
        <w:pStyle w:val="Normal"/>
        <w:spacing w:line="240" w:lineRule="exac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Петровского муниципального округа Ставропольского края и погашения долговых обязательств Петровского муниципального округа Ставропольского края на</w:t>
      </w:r>
      <w:r>
        <w:rPr>
          <w:color w:val="000000"/>
          <w:sz w:val="28"/>
          <w:szCs w:val="28"/>
        </w:rPr>
        <w:t xml:space="preserve"> 2024 год и плановый период 2025 и 2026 годов</w:t>
      </w:r>
    </w:p>
    <w:p>
      <w:pPr>
        <w:pStyle w:val="Normal"/>
        <w:spacing w:line="240" w:lineRule="exact"/>
        <w:jc w:val="center"/>
      </w:pPr>
    </w:p>
    <w:p>
      <w:pPr>
        <w:pStyle w:val="Header"/>
        <w:tabs>
          <w:tab w:val="left" w:pos="708" w:leader="none"/>
        </w:tabs>
        <w:ind w:right="113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(тыс. рублей)                                                                   </w:t>
      </w:r>
      <w:r>
        <w:rPr>
          <w:color w:val="000000"/>
          <w:sz w:val="28"/>
          <w:szCs w:val="28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7200"/>
        <w:gridCol w:w="3128"/>
        <w:gridCol w:w="1672"/>
        <w:gridCol w:w="1500"/>
        <w:gridCol w:w="1435"/>
      </w:tblGrid>
      <w:tr>
        <w:trPr>
          <w:trHeight w:val="183"/>
        </w:trPr>
        <w:tc>
          <w:tcPr>
            <w:tcW w:w="7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Heading4"/>
            </w:pPr>
            <w:r>
              <w:rPr>
                <w:color w:val="000000"/>
                <w:sz w:val="24"/>
                <w:szCs w:val="24"/>
              </w:rPr>
              <w:t xml:space="preserve">Наименование</w:t>
            </w:r>
          </w:p>
        </w:tc>
        <w:tc>
          <w:tcPr>
            <w:tcW w:w="3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Heading2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</w:t>
            </w:r>
          </w:p>
          <w:p>
            <w:pPr>
              <w:pStyle w:val="Heading2"/>
              <w:ind w:left="-108" w:right="-108"/>
            </w:pPr>
            <w:r>
              <w:rPr>
                <w:sz w:val="24"/>
                <w:szCs w:val="24"/>
              </w:rPr>
              <w:t xml:space="preserve">классификации</w:t>
            </w:r>
          </w:p>
        </w:tc>
        <w:tc>
          <w:tcPr>
            <w:tcW w:w="4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Сумма по годам</w:t>
            </w:r>
          </w:p>
        </w:tc>
      </w:tr>
      <w:tr>
        <w:trPr>
          <w:trHeight w:val="188"/>
        </w:trPr>
        <w:tc>
          <w:tcPr>
            <w:tcW w:w="7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Heading4"/>
              <w:numPr>
                <w:numId w:val="0"/>
                <w:ilvl w:val="0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Heading2"/>
              <w:numPr>
                <w:numId w:val="0"/>
                <w:ilvl w:val="0"/>
              </w:numPr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2024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2025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2026</w:t>
            </w:r>
          </w:p>
        </w:tc>
      </w:tr>
      <w:tr>
        <w:trPr>
          <w:trHeight w:val="255"/>
        </w:trPr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Heading4"/>
            </w:pPr>
            <w:r>
              <w:rPr>
                <w:color w:val="000000"/>
                <w:sz w:val="24"/>
                <w:szCs w:val="24"/>
              </w:rPr>
              <w:t xml:space="preserve">1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Heading2"/>
              <w:ind w:left="-108" w:right="-108"/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Heading2"/>
              <w:ind w:left="-108" w:right="-108"/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Heading2"/>
              <w:ind w:left="-108" w:right="-108"/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Heading2"/>
              <w:ind w:left="-108" w:right="-108"/>
            </w:pPr>
            <w:r>
              <w:rPr>
                <w:sz w:val="24"/>
                <w:szCs w:val="24"/>
              </w:rPr>
              <w:t xml:space="preserve">5</w:t>
            </w:r>
          </w:p>
        </w:tc>
      </w:tr>
      <w:tr>
        <w:trPr>
          <w:cantSplit/>
          <w:trHeight w:val="255"/>
        </w:trPr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tabs>
                <w:tab w:val="left" w:pos="4062" w:leader="none"/>
              </w:tabs>
              <w:jc w:val="both"/>
            </w:pPr>
            <w:r>
              <w:t xml:space="preserve">Всего источников финансирования дефицита бюджета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-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136 172,00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7 030,52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12 367,11</w:t>
            </w:r>
          </w:p>
        </w:tc>
      </w:tr>
      <w:tr>
        <w:trPr>
          <w:cantSplit/>
          <w:trHeight w:val="255"/>
        </w:trPr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tabs>
                <w:tab w:val="left" w:pos="4062" w:leader="none"/>
              </w:tabs>
              <w:jc w:val="both"/>
            </w:pPr>
            <w:r>
              <w:rPr>
                <w:bCs/>
              </w:rPr>
              <w:t xml:space="preserve">Изменение остатков средств на счетах по учету средств бюджетов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704 01050000 00 0000 000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136 172,00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7 030,52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12 367,11</w:t>
            </w:r>
          </w:p>
        </w:tc>
      </w:tr>
      <w:tr>
        <w:trPr>
          <w:cantSplit/>
          <w:trHeight w:val="234"/>
        </w:trPr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Увеличение остатков средств бюджетов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704 01050000 00 0000 500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-2 928 530,96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-2 425 435,29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-2 325 390,68</w:t>
            </w:r>
          </w:p>
        </w:tc>
      </w:tr>
      <w:tr>
        <w:trPr>
          <w:cantSplit/>
          <w:trHeight w:val="255"/>
        </w:trPr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Увеличение прочих остатков средств бюджетов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704 01050200 00 0000 500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-2 928 530,96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-2 425 435,29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-2 325 </w:t>
            </w:r>
            <w:r>
              <w:t xml:space="preserve">390,68</w:t>
            </w:r>
          </w:p>
        </w:tc>
      </w:tr>
      <w:tr>
        <w:trPr>
          <w:cantSplit/>
          <w:trHeight w:val="255"/>
        </w:trPr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Увеличение прочих остатков денежных средств бюджетов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704 01050201 00 0000 510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-2 928 530,96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-2 425 435,29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-2 325 390,68</w:t>
            </w:r>
          </w:p>
        </w:tc>
      </w:tr>
      <w:tr>
        <w:trPr>
          <w:cantSplit/>
        </w:trPr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BodyText"/>
              <w:tabs>
                <w:tab w:val="left" w:pos="4062" w:leader="none"/>
              </w:tabs>
              <w:ind w:right="0"/>
            </w:pPr>
            <w:r>
              <w:rPr>
                <w:b w:val="0"/>
                <w:bCs w:val="0"/>
                <w:sz w:val="24"/>
              </w:rPr>
              <w:t xml:space="preserve">Увеличение прочих остатков денежных средств </w:t>
            </w:r>
            <w:r>
              <w:rPr>
                <w:b w:val="0"/>
                <w:sz w:val="24"/>
              </w:rPr>
              <w:t xml:space="preserve">бюджетов                              муниципальных округов</w:t>
            </w:r>
            <w:r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tabs>
                <w:tab w:val="left" w:pos="2869" w:leader="none"/>
              </w:tabs>
              <w:ind w:left="-108" w:right="-108"/>
              <w:jc w:val="center"/>
            </w:pPr>
            <w:r>
              <w:t xml:space="preserve">704 01050201 14 0000 510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-2 928 530,96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-2 425 435,29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-2 325 390,68</w:t>
            </w:r>
          </w:p>
        </w:tc>
      </w:tr>
      <w:tr>
        <w:trPr>
          <w:cantSplit/>
          <w:trHeight w:val="200"/>
        </w:trPr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BodyText"/>
              <w:tabs>
                <w:tab w:val="left" w:pos="4062" w:leader="none"/>
              </w:tabs>
              <w:ind w:right="0"/>
            </w:pPr>
            <w:r>
              <w:rPr>
                <w:b w:val="0"/>
                <w:bCs w:val="0"/>
                <w:sz w:val="24"/>
              </w:rPr>
              <w:t xml:space="preserve">Уменьшение остатков средств бюджетов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tabs>
                <w:tab w:val="left" w:pos="2869" w:leader="none"/>
              </w:tabs>
              <w:ind w:left="-108" w:right="-108"/>
              <w:jc w:val="center"/>
            </w:pPr>
            <w:r>
              <w:t xml:space="preserve">704 01050000 00 0000 600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3 064 702,96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2 432 465,82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2 337 757,79</w:t>
            </w:r>
          </w:p>
        </w:tc>
      </w:tr>
      <w:tr>
        <w:trPr>
          <w:cantSplit/>
        </w:trPr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BodyText"/>
              <w:tabs>
                <w:tab w:val="left" w:pos="4062" w:leader="none"/>
              </w:tabs>
              <w:ind w:right="0"/>
            </w:pPr>
            <w:r>
              <w:rPr>
                <w:b w:val="0"/>
                <w:bCs w:val="0"/>
                <w:sz w:val="24"/>
              </w:rPr>
              <w:t xml:space="preserve">Уменьшение прочих остатков средств бюджетов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tabs>
                <w:tab w:val="left" w:pos="2869" w:leader="none"/>
              </w:tabs>
              <w:ind w:left="-108" w:right="-108"/>
              <w:jc w:val="center"/>
            </w:pPr>
            <w:r>
              <w:t xml:space="preserve">704 01050200 00 0000 600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3 064 702,96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2 432 465,82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2 337 757,79</w:t>
            </w:r>
          </w:p>
        </w:tc>
      </w:tr>
      <w:tr>
        <w:trPr>
          <w:cantSplit/>
          <w:trHeight w:val="90"/>
        </w:trPr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BodyText"/>
              <w:tabs>
                <w:tab w:val="left" w:pos="4062" w:leader="none"/>
              </w:tabs>
              <w:ind w:right="0"/>
            </w:pPr>
            <w:r>
              <w:rPr>
                <w:b w:val="0"/>
                <w:bCs w:val="0"/>
                <w:sz w:val="24"/>
              </w:rPr>
              <w:t xml:space="preserve">Уменьшение прочих остатков денежных средств бюджетов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tabs>
                <w:tab w:val="left" w:pos="2869" w:leader="none"/>
              </w:tabs>
              <w:ind w:left="-108" w:right="-108"/>
              <w:jc w:val="center"/>
            </w:pPr>
            <w:r>
              <w:t xml:space="preserve">704 01050201 00 0000 610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3 064 702,96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2 432 465,82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2 337 757,79</w:t>
            </w:r>
          </w:p>
        </w:tc>
      </w:tr>
      <w:tr>
        <w:trPr>
          <w:cantSplit/>
        </w:trPr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tabs>
                <w:tab w:val="left" w:pos="4062" w:leader="none"/>
              </w:tabs>
              <w:jc w:val="both"/>
            </w:pPr>
            <w:r>
              <w:t xml:space="preserve">Уменьшение прочих остатков денежных средств бюджетов                              муниципальных округов 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704 01050201 14 0000 610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3 064 702,96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2 432 465,82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2 337 757,79</w:t>
            </w:r>
          </w:p>
        </w:tc>
      </w:tr>
    </w:tbl>
    <w:p>
      <w:pPr>
        <w:pStyle w:val="Header"/>
        <w:tabs>
          <w:tab w:val="left" w:pos="708" w:leader="none"/>
        </w:tabs>
        <w:ind w:right="1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left" w:pos="708" w:leader="none"/>
        </w:tabs>
        <w:ind w:right="1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left" w:pos="708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 </w:t>
      </w:r>
    </w:p>
    <w:p>
      <w:pPr>
        <w:pStyle w:val="Header"/>
        <w:tabs>
          <w:tab w:val="left" w:pos="708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муниципального  </w:t>
      </w:r>
    </w:p>
    <w:p>
      <w:pPr>
        <w:pStyle w:val="Header"/>
        <w:tabs>
          <w:tab w:val="left" w:pos="708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 xml:space="preserve">Е.Н. Денисенко 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6838" w:h="11906" w:orient="landscape"/>
      <w:pgMar w:top="1134" w:right="851" w:bottom="1134" w:left="1134" w:header="720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Arial Unicode MS">
    <w:panose1 w:val="020B0604020202020204"/>
  </w:font>
  <w:font w:name="Tahoma">
    <w:panose1 w:val="020B0604030504040204"/>
  </w:font>
  <w:font w:name="Lucida Sans">
    <w:panose1 w:val="020B0603030804020204"/>
  </w:font>
  <w:font w:name="Liberation Sans">
    <w:panose1 w:val="020B0604020202020204"/>
  </w:font>
  <w:font w:name="Calibri">
    <w:panose1 w:val="020F050202020403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78765" cy="2032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>
                      <a:xfrm>
                        <a:off x="0" y="0"/>
                        <a:ext cx="2787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524288;o:allowoverlap:true;o:allowincell:true;mso-position-horizontal-relative:text;margin-left:0.00pt;mso-position-horizontal:absolute;mso-position-vertical-relative:text;margin-top:0.05pt;mso-position-vertical:absolute;width:21.95pt;height:1.60pt;mso-wrap-distance-left:9.00pt;mso-wrap-distance-top:0.00pt;mso-wrap-distance-right:9.00pt;mso-wrap-distance-bottom:0.00pt;visibility:visible;" fillcolor="#FFFFFF" strokecolor="#000000"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zh-CN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widowControl w:val="off"/>
      <w:numPr>
        <w:numId w:val="1"/>
        <w:ilvl w:val="0"/>
      </w:numPr>
      <w:ind w:left="0" w:right="0" w:firstLine="1843"/>
      <w:outlineLvl w:val="0"/>
    </w:pPr>
    <w:rPr>
      <w:b/>
      <w:bCs/>
      <w:i/>
      <w:iCs/>
      <w:sz w:val="28"/>
      <w:szCs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numPr>
        <w:numId w:val="1"/>
        <w:ilvl w:val="1"/>
      </w:numPr>
      <w:jc w:val="center"/>
      <w:outlineLvl w:val="1"/>
    </w:pPr>
    <w:rPr>
      <w:sz w:val="28"/>
      <w:szCs w:val="10"/>
    </w:rPr>
  </w:style>
  <w:style w:type="paragraph" w:styleId="Heading3">
    <w:name w:val="Заголовок 3"/>
    <w:basedOn w:val="Normal"/>
    <w:next w:val="Heading4"/>
    <w:link w:val="Normal"/>
    <w:qFormat/>
    <w:pPr>
      <w:numPr>
        <w:numId w:val="1"/>
        <w:ilvl w:val="2"/>
      </w:numPr>
      <w:spacing w:before="720" w:after="0"/>
      <w:jc w:val="center"/>
      <w:outlineLvl w:val="2"/>
    </w:pPr>
    <w:rPr>
      <w:sz w:val="48"/>
      <w:szCs w:val="20"/>
    </w:rPr>
  </w:style>
  <w:style w:type="paragraph" w:styleId="Heading4">
    <w:name w:val="Заголовок 4"/>
    <w:basedOn w:val="Normal"/>
    <w:next w:val="Normal"/>
    <w:link w:val="Normal"/>
    <w:qFormat/>
    <w:pPr>
      <w:keepNext/>
      <w:numPr>
        <w:numId w:val="1"/>
        <w:ilvl w:val="3"/>
      </w:numPr>
      <w:jc w:val="center"/>
      <w:outlineLvl w:val="3"/>
    </w:pPr>
    <w:rPr>
      <w:color w:val="ff9900"/>
      <w:sz w:val="28"/>
      <w:szCs w:val="20"/>
    </w:rPr>
  </w:style>
  <w:style w:type="paragraph" w:styleId="Heading5">
    <w:name w:val="Заголовок 5"/>
    <w:basedOn w:val="Normal"/>
    <w:next w:val="Heading6"/>
    <w:link w:val="Normal"/>
    <w:qFormat/>
    <w:pPr>
      <w:numPr>
        <w:numId w:val="1"/>
        <w:ilvl w:val="4"/>
      </w:numPr>
      <w:spacing w:before="480" w:after="0"/>
      <w:jc w:val="center"/>
      <w:outlineLvl w:val="4"/>
    </w:pPr>
    <w:rPr>
      <w:sz w:val="40"/>
      <w:szCs w:val="20"/>
    </w:rPr>
  </w:style>
  <w:style w:type="paragraph" w:styleId="Heading6">
    <w:name w:val="Заголовок 6"/>
    <w:basedOn w:val="Normal"/>
    <w:next w:val="Normal"/>
    <w:link w:val="Normal"/>
    <w:qFormat/>
    <w:pPr>
      <w:keepNext/>
      <w:numPr>
        <w:numId w:val="1"/>
        <w:ilvl w:val="5"/>
      </w:numPr>
      <w:outlineLvl w:val="5"/>
    </w:pPr>
    <w:rPr>
      <w:b/>
      <w:bCs/>
      <w:sz w:val="28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1"/>
    <w:next w:val="UserStyle_0"/>
    <w:link w:val="Normal"/>
  </w:style>
  <w:style w:type="character" w:styleId="PageNumber">
    <w:name w:val="Номер страницы"/>
    <w:next w:val="PageNumber"/>
    <w:link w:val="Normal"/>
  </w:style>
  <w:style w:type="character" w:styleId="UserStyle_1">
    <w:name w:val="Верхний колонтитул Знак"/>
    <w:next w:val="UserStyle_1"/>
    <w:link w:val="Normal"/>
    <w:rPr>
      <w:sz w:val="24"/>
      <w:szCs w:val="24"/>
    </w:rPr>
  </w:style>
  <w:style w:type="character" w:styleId="UserStyle_2">
    <w:name w:val="hl41"/>
    <w:next w:val="UserStyle_2"/>
    <w:link w:val="Normal"/>
    <w:rPr>
      <w:b/>
      <w:bCs/>
      <w:sz w:val="20"/>
      <w:szCs w:val="20"/>
    </w:rPr>
  </w:style>
  <w:style w:type="character" w:styleId="UserStyle_3">
    <w:name w:val="Header Char"/>
    <w:next w:val="UserStyle_3"/>
    <w:link w:val="Normal"/>
    <w:rPr>
      <w:rFonts w:ascii="Calibri" w:hAnsi="Calibri" w:eastAsia="Calibri" w:cs="Calibri"/>
      <w:sz w:val="24"/>
      <w:szCs w:val="24"/>
      <w:lang w:val="ru-RU" w:bidi="ar-SA"/>
    </w:rPr>
  </w:style>
  <w:style w:type="paragraph" w:styleId="UserStyle_4">
    <w:name w:val="Заголовок1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ind w:left="0" w:right="-483" w:firstLine="0"/>
      <w:jc w:val="both"/>
    </w:pPr>
    <w:rPr>
      <w:b/>
      <w:bCs/>
      <w:sz w:val="28"/>
    </w:rPr>
  </w:style>
  <w:style w:type="paragraph" w:styleId="List">
    <w:name w:val="Список"/>
    <w:basedOn w:val="BodyText"/>
    <w:next w:val="List"/>
    <w:link w:val="Normal"/>
    <w:rPr>
      <w:rFonts w:cs="Lucida Sans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5">
    <w:name w:val="Указатель1"/>
    <w:basedOn w:val="Normal"/>
    <w:next w:val="UserStyle_5"/>
    <w:link w:val="Normal"/>
    <w:pPr>
      <w:suppressLineNumbers/>
    </w:pPr>
    <w:rPr>
      <w:rFonts w:cs="Lucida Sans"/>
    </w:r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</w:rPr>
  </w:style>
  <w:style w:type="paragraph" w:styleId="UserStyle_6">
    <w:name w:val="Основной текст 21"/>
    <w:basedOn w:val="Normal"/>
    <w:next w:val="UserStyle_6"/>
    <w:link w:val="Normal"/>
    <w:pPr>
      <w:jc w:val="both"/>
    </w:pPr>
    <w:rPr>
      <w:sz w:val="28"/>
    </w:rPr>
  </w:style>
  <w:style w:type="paragraph" w:styleId="UserStyle_7">
    <w:name w:val="Основной текст с отступом 31"/>
    <w:basedOn w:val="Normal"/>
    <w:next w:val="UserStyle_7"/>
    <w:link w:val="Normal"/>
    <w:pPr>
      <w:spacing w:line="320" w:lineRule="exact"/>
      <w:ind w:left="0" w:right="0" w:firstLine="709"/>
      <w:jc w:val="both"/>
    </w:pPr>
    <w:rPr>
      <w:sz w:val="28"/>
      <w:szCs w:val="20"/>
    </w:rPr>
  </w:style>
  <w:style w:type="paragraph" w:styleId="UserStyle_8">
    <w:name w:val="Header and Footer"/>
    <w:basedOn w:val="Normal"/>
    <w:next w:val="UserStyle_8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BodyTextIndent">
    <w:name w:val="Основной текст с отступом"/>
    <w:basedOn w:val="Normal"/>
    <w:next w:val="BodyTextIndent"/>
    <w:link w:val="Normal"/>
    <w:pPr>
      <w:ind w:left="0" w:right="-1" w:firstLine="176"/>
      <w:jc w:val="both"/>
    </w:pPr>
    <w:rPr>
      <w:sz w:val="28"/>
    </w:r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HtmlNormal">
    <w:name w:val="Обычный (веб)"/>
    <w:basedOn w:val="Normal"/>
    <w:next w:val="HtmlNormal"/>
    <w:link w:val="Normal"/>
    <w:pPr>
      <w:spacing w:before="100" w:after="100"/>
    </w:pPr>
    <w:rPr>
      <w:rFonts w:ascii="Arial Unicode MS" w:hAnsi="Arial Unicode MS" w:eastAsia="Arial Unicode MS" w:cs="Arial Unicode MS"/>
    </w:rPr>
  </w:style>
  <w:style w:type="paragraph" w:styleId="UserStyle_9">
    <w:name w:val="Основной текст с отступом 21"/>
    <w:basedOn w:val="Normal"/>
    <w:next w:val="UserStyle_9"/>
    <w:link w:val="Normal"/>
    <w:pPr>
      <w:ind w:left="0" w:right="-483" w:firstLine="720"/>
      <w:jc w:val="both"/>
    </w:pPr>
    <w:rPr>
      <w:sz w:val="28"/>
      <w:szCs w:val="20"/>
    </w:rPr>
  </w:style>
  <w:style w:type="paragraph" w:styleId="UserStyle_10">
    <w:name w:val="ConsNormal"/>
    <w:next w:val="UserStyle_10"/>
    <w:link w:val="Normal"/>
    <w:pPr>
      <w:ind w:firstLine="720"/>
    </w:pPr>
    <w:rPr>
      <w:rFonts w:ascii="Arial" w:hAnsi="Arial" w:cs="Arial"/>
      <w:lang w:val="ru-RU" w:eastAsia="zh-CN" w:bidi="ar-SA"/>
    </w:rPr>
  </w:style>
  <w:style w:type="paragraph" w:styleId="UserStyle_11">
    <w:name w:val="ConsNonformat"/>
    <w:next w:val="UserStyle_11"/>
    <w:link w:val="Normal"/>
    <w:rPr>
      <w:rFonts w:ascii="Courier New" w:hAnsi="Courier New" w:cs="Courier New"/>
      <w:lang w:val="ru-RU" w:eastAsia="zh-CN" w:bidi="ar-SA"/>
    </w:rPr>
  </w:style>
  <w:style w:type="paragraph" w:styleId="UserStyle_12">
    <w:name w:val="ConsTitle"/>
    <w:next w:val="UserStyle_12"/>
    <w:link w:val="Normal"/>
    <w:rPr>
      <w:rFonts w:ascii="Arial" w:hAnsi="Arial" w:cs="Arial"/>
      <w:b/>
      <w:bCs/>
      <w:sz w:val="16"/>
      <w:szCs w:val="16"/>
      <w:lang w:val="ru-RU" w:eastAsia="zh-CN" w:bidi="ar-SA"/>
    </w:rPr>
  </w:style>
  <w:style w:type="paragraph" w:styleId="UserStyle_13">
    <w:name w:val="Содержимое таблицы"/>
    <w:basedOn w:val="Normal"/>
    <w:next w:val="UserStyle_13"/>
    <w:link w:val="Normal"/>
    <w:pPr>
      <w:widowControl w:val="off"/>
      <w:suppressLineNumbers/>
    </w:pPr>
  </w:style>
  <w:style w:type="paragraph" w:styleId="UserStyle_14">
    <w:name w:val="Заголовок таблицы"/>
    <w:basedOn w:val="UserStyle_13"/>
    <w:next w:val="UserStyle_14"/>
    <w:link w:val="Normal"/>
    <w:pPr>
      <w:suppressLineNumbers/>
      <w:jc w:val="center"/>
    </w:pPr>
    <w:rPr>
      <w:b/>
      <w:bCs/>
    </w:rPr>
  </w:style>
  <w:style w:type="paragraph" w:styleId="UserStyle_15">
    <w:name w:val="Содержимое врезки"/>
    <w:basedOn w:val="Normal"/>
    <w:next w:val="UserStyle_15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1649</Characters>
  <CharactersWithSpaces>1935</CharactersWithSpaces>
  <DocSecurity>0</DocSecurity>
  <HyperlinksChanged>false</HyperlinksChanged>
  <Lines>13</Lines>
  <Pages>1</Pages>
  <Paragraphs>3</Paragraphs>
  <ScaleCrop>false</ScaleCrop>
  <SharedDoc>false</SharedDoc>
  <Template>Normal</Template>
  <Words>289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 krtrsp</dc:creator>
  <cp:lastModifiedBy>qwerty</cp:lastModifiedBy>
  <cp:revision>9</cp:revision>
  <dcterms:created xsi:type="dcterms:W3CDTF">2008-12-18T15:07:00Z</dcterms:created>
  <dcterms:modified xsi:type="dcterms:W3CDTF">2024-09-03T11:01:00Z</dcterms:modified>
  <cp:version>726502</cp:version>
</cp:coreProperties>
</file>