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70" w:type="dxa"/>
        <w:tblInd w:w="4928" w:type="dxa"/>
        <w:tblLayout w:type="fixed"/>
        <w:tblLook w:val="01E0" w:firstRow="1" w:lastRow="1" w:firstColumn="1" w:lastColumn="1" w:noHBand="0" w:noVBand="0"/>
      </w:tblPr>
      <w:tblGrid>
        <w:gridCol w:w="4570"/>
      </w:tblGrid>
      <w:tr w:rsidR="00431D63" w:rsidRPr="00D97E3C" w14:paraId="2202574E" w14:textId="77777777" w:rsidTr="003C0E09">
        <w:tc>
          <w:tcPr>
            <w:tcW w:w="4570" w:type="dxa"/>
          </w:tcPr>
          <w:p w14:paraId="77CD8208" w14:textId="618A555D" w:rsidR="00431D63" w:rsidRPr="003C0E09" w:rsidRDefault="00431D63" w:rsidP="00EF2424">
            <w:pPr>
              <w:spacing w:after="0" w:line="240" w:lineRule="exact"/>
              <w:ind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0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431D63" w:rsidRPr="00D97E3C" w14:paraId="6E2385AC" w14:textId="77777777" w:rsidTr="003C0E09">
        <w:trPr>
          <w:trHeight w:val="1321"/>
        </w:trPr>
        <w:tc>
          <w:tcPr>
            <w:tcW w:w="4570" w:type="dxa"/>
            <w:tcBorders>
              <w:bottom w:val="nil"/>
            </w:tcBorders>
          </w:tcPr>
          <w:p w14:paraId="4EDC227A" w14:textId="4709E52D" w:rsidR="00431D63" w:rsidRPr="003C0E09" w:rsidRDefault="00E57519" w:rsidP="002E25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E09">
              <w:rPr>
                <w:rFonts w:ascii="Times New Roman" w:hAnsi="Times New Roman" w:cs="Times New Roman"/>
                <w:sz w:val="28"/>
                <w:szCs w:val="28"/>
              </w:rPr>
              <w:t>к прогнозу</w:t>
            </w:r>
            <w:r w:rsidR="00431D63" w:rsidRPr="003C0E0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Петровского </w:t>
            </w:r>
            <w:r w:rsidR="008861D7" w:rsidRPr="003C0E0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71AA7" w:rsidRPr="003C0E09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3C0E09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на</w:t>
            </w:r>
            <w:r w:rsidR="002E251E" w:rsidRPr="003C0E09">
              <w:rPr>
                <w:rFonts w:ascii="Times New Roman" w:hAnsi="Times New Roman" w:cs="Times New Roman"/>
                <w:sz w:val="28"/>
                <w:szCs w:val="28"/>
              </w:rPr>
              <w:t xml:space="preserve"> 2025 год и на плановый </w:t>
            </w:r>
            <w:r w:rsidR="0039054D" w:rsidRPr="003C0E09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2E251E" w:rsidRPr="003C0E09">
              <w:rPr>
                <w:rFonts w:ascii="Times New Roman" w:hAnsi="Times New Roman" w:cs="Times New Roman"/>
                <w:sz w:val="28"/>
                <w:szCs w:val="28"/>
              </w:rPr>
              <w:t xml:space="preserve">6 и </w:t>
            </w:r>
            <w:r w:rsidR="0039054D" w:rsidRPr="003C0E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251E" w:rsidRPr="003C0E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1852" w:rsidRPr="003C0E0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</w:tbl>
    <w:p w14:paraId="26E0D642" w14:textId="77777777" w:rsidR="00EF2424" w:rsidRPr="0040151F" w:rsidRDefault="00EF2424" w:rsidP="003C0E0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885A07" w14:textId="77777777" w:rsidR="002E251E" w:rsidRPr="0040151F" w:rsidRDefault="002E251E" w:rsidP="00C5351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F26CEC" w14:textId="77777777" w:rsidR="002E251E" w:rsidRPr="0040151F" w:rsidRDefault="002E251E" w:rsidP="00C5351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498449" w14:textId="77777777" w:rsidR="00BC4897" w:rsidRPr="0040151F" w:rsidRDefault="00BC4897" w:rsidP="00C5351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>ПОЯСНИТЕЛЬНАЯ ЗАПИСКА</w:t>
      </w:r>
    </w:p>
    <w:p w14:paraId="0564A363" w14:textId="5CCB1FC6" w:rsidR="002E251E" w:rsidRPr="0040151F" w:rsidRDefault="002E251E" w:rsidP="00C535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0151F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 Петровского муниципального округа Ставропольского края на 2025 год и на плановый период 2026 и 2027 годов</w:t>
      </w:r>
    </w:p>
    <w:p w14:paraId="00DCCFA8" w14:textId="77777777" w:rsidR="002E251E" w:rsidRPr="0040151F" w:rsidRDefault="002E251E" w:rsidP="00C535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2170678" w14:textId="07F56139" w:rsidR="008939DA" w:rsidRDefault="00BC38B7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931F6F" w:rsidRPr="0040151F">
        <w:rPr>
          <w:rFonts w:ascii="Times New Roman" w:hAnsi="Times New Roman" w:cs="Times New Roman"/>
          <w:sz w:val="28"/>
          <w:szCs w:val="28"/>
          <w:lang w:eastAsia="en-US"/>
        </w:rPr>
        <w:t xml:space="preserve">рогноз 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Петровского </w:t>
      </w:r>
      <w:r w:rsidR="00906DE3" w:rsidRPr="0040151F">
        <w:rPr>
          <w:rFonts w:ascii="Times New Roman" w:hAnsi="Times New Roman" w:cs="Times New Roman"/>
          <w:sz w:val="28"/>
          <w:szCs w:val="28"/>
        </w:rPr>
        <w:t>муниципального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2E251E" w:rsidRPr="0040151F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A775E" w:rsidRPr="0040151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E251E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EA775E" w:rsidRPr="0040151F">
        <w:rPr>
          <w:rFonts w:ascii="Times New Roman" w:hAnsi="Times New Roman" w:cs="Times New Roman"/>
          <w:sz w:val="28"/>
          <w:szCs w:val="28"/>
        </w:rPr>
        <w:t>–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A775E" w:rsidRPr="0040151F">
        <w:rPr>
          <w:rFonts w:ascii="Times New Roman" w:hAnsi="Times New Roman" w:cs="Times New Roman"/>
          <w:sz w:val="28"/>
          <w:szCs w:val="28"/>
        </w:rPr>
        <w:t>, округ</w:t>
      </w:r>
      <w:r w:rsidR="00931F6F" w:rsidRPr="0040151F">
        <w:rPr>
          <w:rFonts w:ascii="Times New Roman" w:hAnsi="Times New Roman" w:cs="Times New Roman"/>
          <w:sz w:val="28"/>
          <w:szCs w:val="28"/>
        </w:rPr>
        <w:t>)</w:t>
      </w:r>
      <w:r w:rsidR="002E251E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разработан на основе анализа тенденций развития экономики Петровского </w:t>
      </w:r>
      <w:r w:rsidR="002E251E" w:rsidRPr="0040151F">
        <w:rPr>
          <w:rFonts w:ascii="Times New Roman" w:hAnsi="Times New Roman" w:cs="Times New Roman"/>
          <w:sz w:val="28"/>
          <w:szCs w:val="28"/>
        </w:rPr>
        <w:t>муниципального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 округа за 202</w:t>
      </w:r>
      <w:r w:rsidR="002E251E" w:rsidRPr="0040151F">
        <w:rPr>
          <w:rFonts w:ascii="Times New Roman" w:hAnsi="Times New Roman" w:cs="Times New Roman"/>
          <w:sz w:val="28"/>
          <w:szCs w:val="28"/>
        </w:rPr>
        <w:t>2</w:t>
      </w:r>
      <w:r w:rsidR="00AF3FCF">
        <w:rPr>
          <w:rFonts w:ascii="Times New Roman" w:hAnsi="Times New Roman" w:cs="Times New Roman"/>
          <w:sz w:val="28"/>
          <w:szCs w:val="28"/>
        </w:rPr>
        <w:t xml:space="preserve"> - </w:t>
      </w:r>
      <w:r w:rsidR="00931F6F" w:rsidRPr="0040151F">
        <w:rPr>
          <w:rFonts w:ascii="Times New Roman" w:hAnsi="Times New Roman" w:cs="Times New Roman"/>
          <w:sz w:val="28"/>
          <w:szCs w:val="28"/>
        </w:rPr>
        <w:t>202</w:t>
      </w:r>
      <w:r w:rsidR="002E251E" w:rsidRPr="0040151F">
        <w:rPr>
          <w:rFonts w:ascii="Times New Roman" w:hAnsi="Times New Roman" w:cs="Times New Roman"/>
          <w:sz w:val="28"/>
          <w:szCs w:val="28"/>
        </w:rPr>
        <w:t>3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 годы и </w:t>
      </w:r>
      <w:r w:rsidR="00EC1852" w:rsidRPr="0040151F">
        <w:rPr>
          <w:rFonts w:ascii="Times New Roman" w:hAnsi="Times New Roman" w:cs="Times New Roman"/>
          <w:sz w:val="28"/>
          <w:szCs w:val="28"/>
        </w:rPr>
        <w:t xml:space="preserve">экономической ситуации, 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сложившейся к </w:t>
      </w:r>
      <w:r w:rsidR="00AF3FCF">
        <w:rPr>
          <w:rFonts w:ascii="Times New Roman" w:hAnsi="Times New Roman" w:cs="Times New Roman"/>
          <w:sz w:val="28"/>
          <w:szCs w:val="28"/>
        </w:rPr>
        <w:t>сентябрю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 202</w:t>
      </w:r>
      <w:r w:rsidR="002E251E" w:rsidRPr="0040151F">
        <w:rPr>
          <w:rFonts w:ascii="Times New Roman" w:hAnsi="Times New Roman" w:cs="Times New Roman"/>
          <w:sz w:val="28"/>
          <w:szCs w:val="28"/>
        </w:rPr>
        <w:t>4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 года, в соответствии с материалами Министерства экономического развития Российской Федерации, данными Управления Федеральной службы государственной статистики по Северо-Кавказскому Федеральному округу, данными, представленными отделами и органами администрации </w:t>
      </w:r>
      <w:r w:rsidR="0039054D" w:rsidRPr="0040151F">
        <w:rPr>
          <w:rFonts w:ascii="Times New Roman" w:hAnsi="Times New Roman" w:cs="Times New Roman"/>
          <w:sz w:val="28"/>
          <w:szCs w:val="28"/>
        </w:rPr>
        <w:t>П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етровского </w:t>
      </w:r>
      <w:r w:rsidR="002E251E" w:rsidRPr="0040151F">
        <w:rPr>
          <w:rFonts w:ascii="Times New Roman" w:hAnsi="Times New Roman" w:cs="Times New Roman"/>
          <w:sz w:val="28"/>
          <w:szCs w:val="28"/>
        </w:rPr>
        <w:t>муниципального</w:t>
      </w:r>
      <w:r w:rsidR="00931F6F" w:rsidRPr="004015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предприятиями и организациями, осуществляющими деятельность на территории округа. </w:t>
      </w:r>
    </w:p>
    <w:p w14:paraId="38600A67" w14:textId="5BAB42A1" w:rsidR="00931F6F" w:rsidRPr="0040151F" w:rsidRDefault="00931F6F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 разработан </w:t>
      </w:r>
      <w:r w:rsidRPr="0040151F">
        <w:rPr>
          <w:rFonts w:ascii="Times New Roman" w:hAnsi="Times New Roman" w:cs="Times New Roman"/>
          <w:sz w:val="28"/>
          <w:szCs w:val="28"/>
        </w:rPr>
        <w:t>в двух вариантах: консервативн</w:t>
      </w:r>
      <w:r w:rsidR="002E251E" w:rsidRPr="0040151F">
        <w:rPr>
          <w:rFonts w:ascii="Times New Roman" w:hAnsi="Times New Roman" w:cs="Times New Roman"/>
          <w:sz w:val="28"/>
          <w:szCs w:val="28"/>
        </w:rPr>
        <w:t>ом</w:t>
      </w:r>
      <w:r w:rsidRPr="0040151F">
        <w:rPr>
          <w:rFonts w:ascii="Times New Roman" w:hAnsi="Times New Roman" w:cs="Times New Roman"/>
          <w:sz w:val="28"/>
          <w:szCs w:val="28"/>
        </w:rPr>
        <w:t xml:space="preserve"> и базов</w:t>
      </w:r>
      <w:r w:rsidR="002E251E" w:rsidRPr="0040151F">
        <w:rPr>
          <w:rFonts w:ascii="Times New Roman" w:hAnsi="Times New Roman" w:cs="Times New Roman"/>
          <w:sz w:val="28"/>
          <w:szCs w:val="28"/>
        </w:rPr>
        <w:t>ом</w:t>
      </w:r>
      <w:r w:rsidRPr="0040151F">
        <w:rPr>
          <w:rFonts w:ascii="Times New Roman" w:hAnsi="Times New Roman" w:cs="Times New Roman"/>
          <w:sz w:val="28"/>
          <w:szCs w:val="28"/>
        </w:rPr>
        <w:t>.</w:t>
      </w:r>
      <w:r w:rsidRPr="004015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151F">
        <w:rPr>
          <w:rFonts w:ascii="Times New Roman" w:hAnsi="Times New Roman" w:cs="Times New Roman"/>
          <w:sz w:val="28"/>
          <w:szCs w:val="28"/>
        </w:rPr>
        <w:t>Различие вариантов обусловлено отличием моделей поведения субъектов предпринимательской деятельности, перспективами повышения конкурентоспособности и эффективностью производства основных видов продукции, возможност</w:t>
      </w:r>
      <w:r w:rsidR="00CE114E">
        <w:rPr>
          <w:rFonts w:ascii="Times New Roman" w:hAnsi="Times New Roman" w:cs="Times New Roman"/>
          <w:sz w:val="28"/>
          <w:szCs w:val="28"/>
        </w:rPr>
        <w:t>ью</w:t>
      </w:r>
      <w:r w:rsidRPr="0040151F">
        <w:rPr>
          <w:rFonts w:ascii="Times New Roman" w:hAnsi="Times New Roman" w:cs="Times New Roman"/>
          <w:sz w:val="28"/>
          <w:szCs w:val="28"/>
        </w:rPr>
        <w:t xml:space="preserve"> сохранения и усиления санкционного давления со</w:t>
      </w:r>
      <w:r w:rsidR="008939DA">
        <w:rPr>
          <w:rFonts w:ascii="Times New Roman" w:hAnsi="Times New Roman" w:cs="Times New Roman"/>
          <w:sz w:val="28"/>
          <w:szCs w:val="28"/>
        </w:rPr>
        <w:t xml:space="preserve"> стороны недружественных стран, динамикой демографических показателей.</w:t>
      </w:r>
    </w:p>
    <w:p w14:paraId="577BEA78" w14:textId="69F2582D" w:rsidR="00931F6F" w:rsidRPr="0040151F" w:rsidRDefault="00931F6F" w:rsidP="0040151F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40151F">
        <w:rPr>
          <w:sz w:val="28"/>
          <w:szCs w:val="28"/>
        </w:rPr>
        <w:t>Консервативный вариант предполагает</w:t>
      </w:r>
      <w:r w:rsidR="00A528BC" w:rsidRPr="0040151F">
        <w:rPr>
          <w:sz w:val="28"/>
          <w:szCs w:val="28"/>
        </w:rPr>
        <w:t xml:space="preserve"> экономическую неопределенность и основан на предпосылках об ухудшении внешнеэкономических условий</w:t>
      </w:r>
      <w:r w:rsidR="00CC182A">
        <w:rPr>
          <w:sz w:val="28"/>
          <w:szCs w:val="28"/>
        </w:rPr>
        <w:t>, усилении влияния изменений климата</w:t>
      </w:r>
      <w:r w:rsidRPr="0040151F">
        <w:rPr>
          <w:color w:val="FF0000"/>
          <w:sz w:val="28"/>
          <w:szCs w:val="28"/>
        </w:rPr>
        <w:t xml:space="preserve"> </w:t>
      </w:r>
      <w:r w:rsidR="00EC1852" w:rsidRPr="0040151F">
        <w:rPr>
          <w:sz w:val="28"/>
          <w:szCs w:val="28"/>
        </w:rPr>
        <w:t xml:space="preserve">и, как следствие, </w:t>
      </w:r>
      <w:r w:rsidRPr="0040151F">
        <w:rPr>
          <w:sz w:val="28"/>
          <w:szCs w:val="28"/>
        </w:rPr>
        <w:t>сокращение объема</w:t>
      </w:r>
      <w:r w:rsidR="00A528BC" w:rsidRPr="0040151F">
        <w:rPr>
          <w:sz w:val="28"/>
          <w:szCs w:val="28"/>
        </w:rPr>
        <w:t xml:space="preserve"> </w:t>
      </w:r>
      <w:r w:rsidRPr="0040151F">
        <w:rPr>
          <w:sz w:val="28"/>
          <w:szCs w:val="28"/>
        </w:rPr>
        <w:t>производства основной промышленной и сельскохозяйственной продукции, объемов инвестиций,</w:t>
      </w:r>
      <w:r w:rsidR="00F64D08">
        <w:rPr>
          <w:sz w:val="28"/>
          <w:szCs w:val="28"/>
        </w:rPr>
        <w:t xml:space="preserve"> а также </w:t>
      </w:r>
      <w:r w:rsidR="008939DA">
        <w:rPr>
          <w:sz w:val="28"/>
          <w:szCs w:val="28"/>
        </w:rPr>
        <w:t xml:space="preserve">существенное </w:t>
      </w:r>
      <w:r w:rsidRPr="0040151F">
        <w:rPr>
          <w:sz w:val="28"/>
          <w:szCs w:val="28"/>
        </w:rPr>
        <w:t>сокращение численности населения округа.</w:t>
      </w:r>
    </w:p>
    <w:p w14:paraId="47DEE60B" w14:textId="57437457" w:rsidR="00931F6F" w:rsidRPr="0040151F" w:rsidRDefault="00931F6F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В базовый вариант заложена </w:t>
      </w:r>
      <w:r w:rsidR="0069667F" w:rsidRPr="0040151F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CE114E">
        <w:rPr>
          <w:rFonts w:ascii="Times New Roman" w:eastAsia="Times New Roman" w:hAnsi="Times New Roman" w:cs="Times New Roman"/>
          <w:sz w:val="28"/>
          <w:szCs w:val="28"/>
        </w:rPr>
        <w:t xml:space="preserve">динамичная 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экономическая </w:t>
      </w:r>
      <w:r w:rsidR="00F64D08">
        <w:rPr>
          <w:rFonts w:ascii="Times New Roman" w:eastAsia="Times New Roman" w:hAnsi="Times New Roman" w:cs="Times New Roman"/>
          <w:sz w:val="28"/>
          <w:szCs w:val="28"/>
        </w:rPr>
        <w:t xml:space="preserve">и демографическая 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политика. В частности предполагается: </w:t>
      </w:r>
      <w:r w:rsidR="00E40320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40151F">
        <w:rPr>
          <w:rFonts w:ascii="Times New Roman" w:hAnsi="Times New Roman" w:cs="Times New Roman"/>
          <w:sz w:val="28"/>
          <w:szCs w:val="28"/>
        </w:rPr>
        <w:t xml:space="preserve"> темпов производства по основным видам экономической деятельности</w:t>
      </w:r>
      <w:r w:rsidR="00E403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более активная инвестиционная политика </w:t>
      </w:r>
      <w:r w:rsidR="00F64D08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E40320">
        <w:rPr>
          <w:rFonts w:ascii="Times New Roman" w:hAnsi="Times New Roman" w:cs="Times New Roman"/>
          <w:sz w:val="28"/>
          <w:szCs w:val="28"/>
        </w:rPr>
        <w:t>,</w:t>
      </w:r>
      <w:r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CC182A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C46207">
        <w:rPr>
          <w:rFonts w:ascii="Times New Roman" w:hAnsi="Times New Roman" w:cs="Times New Roman"/>
          <w:sz w:val="28"/>
          <w:szCs w:val="28"/>
        </w:rPr>
        <w:t>рост средне</w:t>
      </w:r>
      <w:r w:rsidR="003C67B9">
        <w:rPr>
          <w:rFonts w:ascii="Times New Roman" w:hAnsi="Times New Roman" w:cs="Times New Roman"/>
          <w:sz w:val="28"/>
          <w:szCs w:val="28"/>
        </w:rPr>
        <w:t xml:space="preserve">й </w:t>
      </w:r>
      <w:r w:rsidR="00C46207">
        <w:rPr>
          <w:rFonts w:ascii="Times New Roman" w:hAnsi="Times New Roman" w:cs="Times New Roman"/>
          <w:sz w:val="28"/>
          <w:szCs w:val="28"/>
        </w:rPr>
        <w:t xml:space="preserve">месячной заработной платы работающих, </w:t>
      </w:r>
      <w:r w:rsidR="00EC1852" w:rsidRPr="0040151F">
        <w:rPr>
          <w:rFonts w:ascii="Times New Roman" w:hAnsi="Times New Roman" w:cs="Times New Roman"/>
          <w:sz w:val="28"/>
          <w:szCs w:val="28"/>
        </w:rPr>
        <w:t>стабилизация</w:t>
      </w:r>
      <w:r w:rsidRPr="0040151F">
        <w:rPr>
          <w:rFonts w:ascii="Times New Roman" w:hAnsi="Times New Roman" w:cs="Times New Roman"/>
          <w:sz w:val="28"/>
          <w:szCs w:val="28"/>
        </w:rPr>
        <w:t xml:space="preserve"> демографических показателей.</w:t>
      </w:r>
      <w:r w:rsidR="00EC1852" w:rsidRPr="0040151F">
        <w:rPr>
          <w:rFonts w:ascii="Times New Roman" w:hAnsi="Times New Roman" w:cs="Times New Roman"/>
          <w:sz w:val="28"/>
          <w:szCs w:val="28"/>
        </w:rPr>
        <w:t xml:space="preserve"> Базовый вариант является наиболее приемлемым вариантом развития на период</w:t>
      </w:r>
      <w:r w:rsidR="003C67B9">
        <w:rPr>
          <w:rFonts w:ascii="Times New Roman" w:hAnsi="Times New Roman" w:cs="Times New Roman"/>
          <w:sz w:val="28"/>
          <w:szCs w:val="28"/>
        </w:rPr>
        <w:t xml:space="preserve"> 2025 – 2027 годов</w:t>
      </w:r>
      <w:r w:rsidR="00EC1852" w:rsidRPr="0040151F">
        <w:rPr>
          <w:rFonts w:ascii="Times New Roman" w:hAnsi="Times New Roman" w:cs="Times New Roman"/>
          <w:sz w:val="28"/>
          <w:szCs w:val="28"/>
        </w:rPr>
        <w:t>.</w:t>
      </w:r>
    </w:p>
    <w:p w14:paraId="4D2C15C7" w14:textId="77777777" w:rsidR="005208C8" w:rsidRDefault="005208C8" w:rsidP="00C53515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4C4EB5" w14:textId="77777777" w:rsidR="00ED6137" w:rsidRPr="0040151F" w:rsidRDefault="00ED6137" w:rsidP="00C5351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51F">
        <w:rPr>
          <w:rFonts w:ascii="Times New Roman" w:eastAsia="Times New Roman" w:hAnsi="Times New Roman" w:cs="Times New Roman"/>
          <w:b/>
          <w:sz w:val="28"/>
          <w:szCs w:val="28"/>
        </w:rPr>
        <w:t>Население</w:t>
      </w:r>
    </w:p>
    <w:p w14:paraId="5EA5ADED" w14:textId="65AF8C82" w:rsidR="00604CE3" w:rsidRDefault="00D97E3C" w:rsidP="00604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5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 xml:space="preserve"> округе сохраняется негативная </w:t>
      </w:r>
      <w:r w:rsidR="00ED6137" w:rsidRPr="0040151F">
        <w:rPr>
          <w:rFonts w:ascii="Times New Roman" w:eastAsia="Times New Roman" w:hAnsi="Times New Roman" w:cs="Times New Roman"/>
          <w:bCs/>
          <w:sz w:val="28"/>
          <w:szCs w:val="28"/>
        </w:rPr>
        <w:t>демографическая ситуация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>. По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сведениям о государственной регистрации актов гражданского состояния </w:t>
      </w:r>
      <w:r w:rsidR="00AA0C75" w:rsidRPr="00AA0C75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A0C75" w:rsidRPr="00AA0C75">
        <w:rPr>
          <w:rFonts w:ascii="Times New Roman" w:eastAsia="Times New Roman" w:hAnsi="Times New Roman" w:cs="Times New Roman"/>
          <w:sz w:val="28"/>
          <w:szCs w:val="28"/>
        </w:rPr>
        <w:t xml:space="preserve"> записи актов гражданского состояния Ставропольского края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 xml:space="preserve"> в округе</w:t>
      </w:r>
      <w:r w:rsidR="00AA0C75" w:rsidRPr="00401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>общее число родившихся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 xml:space="preserve">за январь 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252A2" w:rsidRPr="0040151F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252A2" w:rsidRPr="0040151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2A2" w:rsidRPr="0040151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>) в 2,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>8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 xml:space="preserve"> раза ниже, чем количество умерших (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>775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 xml:space="preserve"> человек). Естественная убыль населения 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 xml:space="preserve">за этот период </w:t>
      </w:r>
      <w:r w:rsidR="003C67B9">
        <w:rPr>
          <w:rFonts w:ascii="Times New Roman" w:eastAsia="Times New Roman" w:hAnsi="Times New Roman" w:cs="Times New Roman"/>
          <w:sz w:val="28"/>
          <w:szCs w:val="28"/>
        </w:rPr>
        <w:t>увеличилась до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>498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ED6137" w:rsidRPr="008463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8DB382" w14:textId="49D3309F" w:rsidR="00604CE3" w:rsidRDefault="00604CE3" w:rsidP="00604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первом полугодии</w:t>
      </w:r>
      <w:r w:rsidR="00CE114E">
        <w:rPr>
          <w:rFonts w:ascii="Times New Roman" w:eastAsia="Times New Roman" w:hAnsi="Times New Roman" w:cs="Times New Roman"/>
          <w:sz w:val="28"/>
          <w:szCs w:val="28"/>
        </w:rPr>
        <w:t xml:space="preserve">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миграционный отток населения составил 197 человек. Миграционные потоки представлены в основном внутрикраевой миграцией – 148 человек или 75</w:t>
      </w:r>
      <w:r w:rsidR="003C67B9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>% выбы</w:t>
      </w:r>
      <w:r w:rsidR="003C67B9">
        <w:rPr>
          <w:rFonts w:ascii="Times New Roman" w:eastAsia="Times New Roman" w:hAnsi="Times New Roman" w:cs="Times New Roman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округа.</w:t>
      </w:r>
    </w:p>
    <w:p w14:paraId="3C6289AE" w14:textId="5A90362B" w:rsidR="00F64D08" w:rsidRDefault="00604CE3" w:rsidP="007D3E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конца</w:t>
      </w:r>
      <w:r w:rsidR="008463CF">
        <w:rPr>
          <w:rFonts w:ascii="Times New Roman" w:eastAsia="Times New Roman" w:hAnsi="Times New Roman" w:cs="Times New Roman"/>
          <w:sz w:val="28"/>
          <w:szCs w:val="28"/>
        </w:rPr>
        <w:t xml:space="preserve"> 2024 года существенного изменения динамики демографических показателей в сравнении с 2023 годом не ожидается, численность населения (в среднегодовом исчислении) сократится до 67,9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0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CF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CF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 w:rsidR="00F64D08">
        <w:rPr>
          <w:rFonts w:ascii="Times New Roman" w:eastAsia="Times New Roman" w:hAnsi="Times New Roman" w:cs="Times New Roman"/>
          <w:sz w:val="28"/>
          <w:szCs w:val="28"/>
        </w:rPr>
        <w:t xml:space="preserve">На стабилизацию </w:t>
      </w:r>
      <w:r w:rsidR="00ED6137" w:rsidRPr="0040151F">
        <w:rPr>
          <w:rFonts w:ascii="Times New Roman" w:eastAsia="Times New Roman" w:hAnsi="Times New Roman" w:cs="Times New Roman"/>
          <w:sz w:val="28"/>
          <w:szCs w:val="28"/>
        </w:rPr>
        <w:t xml:space="preserve">демографической ситуации </w:t>
      </w:r>
      <w:r w:rsidR="00F64D08">
        <w:rPr>
          <w:rFonts w:ascii="Times New Roman" w:eastAsia="Times New Roman" w:hAnsi="Times New Roman" w:cs="Times New Roman"/>
          <w:sz w:val="28"/>
          <w:szCs w:val="28"/>
        </w:rPr>
        <w:t xml:space="preserve">направлены </w:t>
      </w:r>
      <w:r w:rsidR="007D3ED8" w:rsidRPr="007D3ED8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региональн</w:t>
      </w:r>
      <w:r w:rsidR="007D3E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ые </w:t>
      </w:r>
      <w:r w:rsidR="007D3ED8" w:rsidRPr="007D3ED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  <w:r w:rsidR="007D3E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 </w:t>
      </w:r>
      <w:r w:rsidR="007D3ED8" w:rsidRPr="0040151F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="007D3ED8" w:rsidRPr="007D3ED8">
        <w:rPr>
          <w:rFonts w:ascii="Times New Roman" w:eastAsia="Times New Roman" w:hAnsi="Times New Roman" w:cs="Times New Roman"/>
          <w:sz w:val="28"/>
          <w:szCs w:val="28"/>
        </w:rPr>
        <w:t xml:space="preserve">«Развитие системы оказания первичной медико-санитарной помощи в Ставропольском крае», </w:t>
      </w:r>
      <w:r w:rsidR="007D3ED8" w:rsidRPr="007D3ED8">
        <w:rPr>
          <w:rFonts w:ascii="Times New Roman" w:eastAsia="Times New Roman" w:hAnsi="Times New Roman" w:cs="Times New Roman"/>
          <w:sz w:val="28"/>
          <w:szCs w:val="28"/>
          <w:lang w:eastAsia="zh-CN"/>
        </w:rPr>
        <w:t>«Старшее поколение»</w:t>
      </w:r>
      <w:r w:rsidR="007D3E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F64D08" w:rsidRPr="0040151F">
        <w:rPr>
          <w:rFonts w:ascii="Times New Roman" w:eastAsia="Times New Roman" w:hAnsi="Times New Roman" w:cs="Times New Roman"/>
          <w:sz w:val="28"/>
          <w:szCs w:val="28"/>
        </w:rPr>
        <w:t>«Финансовая поддержка семей при рождении детей»</w:t>
      </w:r>
      <w:r w:rsidR="007D3E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4D08" w:rsidRPr="00401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35E186" w14:textId="4B9B1785" w:rsidR="00F03587" w:rsidRPr="0040151F" w:rsidRDefault="00EB0E9E" w:rsidP="00F035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ED6137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>азов</w:t>
      </w:r>
      <w:r w:rsidR="00CB3703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ый </w:t>
      </w:r>
      <w:r w:rsidR="00ED6137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>вариант прогноза</w:t>
      </w:r>
      <w:r w:rsidR="00CB3703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предусматривает, что</w:t>
      </w:r>
      <w:r w:rsidR="00ED6137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концу в 202</w:t>
      </w:r>
      <w:r w:rsidR="00F96BF2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ED6137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общий коэффициент рождаемости населения увеличится до </w:t>
      </w:r>
      <w:r w:rsidR="00604CE3">
        <w:rPr>
          <w:rFonts w:ascii="Times New Roman" w:eastAsia="Calibri" w:hAnsi="Times New Roman" w:cs="Times New Roman"/>
          <w:sz w:val="28"/>
          <w:szCs w:val="28"/>
          <w:lang w:eastAsia="en-US"/>
        </w:rPr>
        <w:t>6,50</w:t>
      </w:r>
      <w:r w:rsidR="00ED6137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родившихся живыми на 1,0 тыс. человек населения, общ</w:t>
      </w:r>
      <w:r w:rsidR="00F96BF2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ий </w:t>
      </w:r>
      <w:r w:rsidR="00ED6137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коэффициент смертности сократится </w:t>
      </w:r>
      <w:r w:rsidR="00DE4BF2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r w:rsidR="00ED6137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6BF2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>15,0</w:t>
      </w:r>
      <w:r w:rsidR="00ED6137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умерши</w:t>
      </w:r>
      <w:r w:rsidR="00ED6137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>х на 1,0 тыс. населения, миграционн</w:t>
      </w:r>
      <w:r w:rsidR="0039268D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ED6137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268D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>убыль</w:t>
      </w:r>
      <w:r w:rsidR="00DE4BF2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составит </w:t>
      </w:r>
      <w:r w:rsidR="0039268D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E4BF2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6137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>0,</w:t>
      </w:r>
      <w:r w:rsidR="0030049C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C0E09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DE4BF2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человек</w:t>
      </w:r>
      <w:r w:rsidR="00ED6137" w:rsidRPr="003C0E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03587" w:rsidRPr="00F03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119A034" w14:textId="77777777" w:rsidR="00ED6137" w:rsidRPr="0040151F" w:rsidRDefault="00ED6137" w:rsidP="00C53515">
      <w:pPr>
        <w:widowControl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23D285" w14:textId="77777777" w:rsidR="00ED6137" w:rsidRPr="0040151F" w:rsidRDefault="00ED6137" w:rsidP="00C5351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51F">
        <w:rPr>
          <w:rFonts w:ascii="Times New Roman" w:eastAsia="Times New Roman" w:hAnsi="Times New Roman" w:cs="Times New Roman"/>
          <w:b/>
          <w:sz w:val="28"/>
          <w:szCs w:val="28"/>
        </w:rPr>
        <w:t>Промышленное производство</w:t>
      </w:r>
    </w:p>
    <w:p w14:paraId="0C4FF3D0" w14:textId="77777777" w:rsidR="00ED6137" w:rsidRPr="00186AB8" w:rsidRDefault="00ED6137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B8">
        <w:rPr>
          <w:rFonts w:ascii="Times New Roman" w:hAnsi="Times New Roman" w:cs="Times New Roman"/>
          <w:sz w:val="28"/>
          <w:szCs w:val="28"/>
        </w:rPr>
        <w:t>Производство промышленной продукции на территории округа представлено добычей полезных ископаемых, обрабатывающими производствами и жилищно-коммунальным хозяйством.</w:t>
      </w:r>
    </w:p>
    <w:p w14:paraId="72492E94" w14:textId="7F6C1F31" w:rsidR="00ED6137" w:rsidRPr="00C0218A" w:rsidRDefault="00ED6137" w:rsidP="0040151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</w:rPr>
      </w:pPr>
      <w:r w:rsidRPr="00186AB8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</w:t>
      </w:r>
      <w:r w:rsidR="00DC5D3E" w:rsidRPr="00186AB8">
        <w:rPr>
          <w:rFonts w:ascii="Times New Roman" w:hAnsi="Times New Roman" w:cs="Times New Roman"/>
          <w:sz w:val="28"/>
          <w:szCs w:val="28"/>
        </w:rPr>
        <w:t xml:space="preserve">собственными силами по </w:t>
      </w:r>
      <w:r w:rsidRPr="00186AB8">
        <w:rPr>
          <w:rFonts w:ascii="Times New Roman" w:hAnsi="Times New Roman" w:cs="Times New Roman"/>
          <w:sz w:val="28"/>
          <w:szCs w:val="28"/>
        </w:rPr>
        <w:t>промышленны</w:t>
      </w:r>
      <w:r w:rsidR="00DC5D3E" w:rsidRPr="00186AB8">
        <w:rPr>
          <w:rFonts w:ascii="Times New Roman" w:hAnsi="Times New Roman" w:cs="Times New Roman"/>
          <w:sz w:val="28"/>
          <w:szCs w:val="28"/>
        </w:rPr>
        <w:t>м видам экономической деятельности (далее - объем отгруженной продукции)</w:t>
      </w:r>
      <w:r w:rsidRPr="00186AB8">
        <w:rPr>
          <w:rFonts w:ascii="Times New Roman" w:hAnsi="Times New Roman" w:cs="Times New Roman"/>
          <w:sz w:val="28"/>
          <w:szCs w:val="28"/>
        </w:rPr>
        <w:t xml:space="preserve"> по состоянию на 01 </w:t>
      </w:r>
      <w:r w:rsidR="003C67B9">
        <w:rPr>
          <w:rFonts w:ascii="Times New Roman" w:hAnsi="Times New Roman" w:cs="Times New Roman"/>
          <w:sz w:val="28"/>
          <w:szCs w:val="28"/>
        </w:rPr>
        <w:t>октября</w:t>
      </w:r>
      <w:r w:rsidRPr="00186AB8">
        <w:rPr>
          <w:rFonts w:ascii="Times New Roman" w:hAnsi="Times New Roman" w:cs="Times New Roman"/>
          <w:sz w:val="28"/>
          <w:szCs w:val="28"/>
        </w:rPr>
        <w:t xml:space="preserve"> 202</w:t>
      </w:r>
      <w:r w:rsidR="00952ED9" w:rsidRPr="00186AB8">
        <w:rPr>
          <w:rFonts w:ascii="Times New Roman" w:hAnsi="Times New Roman" w:cs="Times New Roman"/>
          <w:sz w:val="28"/>
          <w:szCs w:val="28"/>
        </w:rPr>
        <w:t>4</w:t>
      </w:r>
      <w:r w:rsidRPr="00186AB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86AB8">
        <w:rPr>
          <w:rFonts w:ascii="Times New Roman" w:eastAsia="Lucida Sans Unicode" w:hAnsi="Times New Roman" w:cs="Times New Roman"/>
          <w:sz w:val="28"/>
          <w:szCs w:val="28"/>
        </w:rPr>
        <w:t xml:space="preserve">составил </w:t>
      </w:r>
      <w:r w:rsidR="003C67B9">
        <w:rPr>
          <w:rFonts w:ascii="Times New Roman" w:eastAsia="Lucida Sans Unicode" w:hAnsi="Times New Roman" w:cs="Times New Roman"/>
          <w:sz w:val="28"/>
          <w:szCs w:val="28"/>
        </w:rPr>
        <w:t>5518,66</w:t>
      </w:r>
      <w:r w:rsidRPr="00186AB8">
        <w:rPr>
          <w:rFonts w:ascii="Times New Roman" w:eastAsia="Lucida Sans Unicode" w:hAnsi="Times New Roman" w:cs="Times New Roman"/>
          <w:sz w:val="28"/>
          <w:szCs w:val="28"/>
        </w:rPr>
        <w:t xml:space="preserve"> млн. рублей или </w:t>
      </w:r>
      <w:r w:rsidR="00952ED9" w:rsidRPr="00186AB8">
        <w:rPr>
          <w:rFonts w:ascii="Times New Roman" w:eastAsia="Lucida Sans Unicode" w:hAnsi="Times New Roman" w:cs="Times New Roman"/>
          <w:sz w:val="28"/>
          <w:szCs w:val="28"/>
        </w:rPr>
        <w:t>8</w:t>
      </w:r>
      <w:r w:rsidR="003C67B9">
        <w:rPr>
          <w:rFonts w:ascii="Times New Roman" w:eastAsia="Lucida Sans Unicode" w:hAnsi="Times New Roman" w:cs="Times New Roman"/>
          <w:sz w:val="28"/>
          <w:szCs w:val="28"/>
        </w:rPr>
        <w:t>3</w:t>
      </w:r>
      <w:r w:rsidR="00952ED9" w:rsidRPr="00186AB8">
        <w:rPr>
          <w:rFonts w:ascii="Times New Roman" w:eastAsia="Lucida Sans Unicode" w:hAnsi="Times New Roman" w:cs="Times New Roman"/>
          <w:sz w:val="28"/>
          <w:szCs w:val="28"/>
        </w:rPr>
        <w:t>,</w:t>
      </w:r>
      <w:r w:rsidR="00186AB8" w:rsidRPr="00186AB8">
        <w:rPr>
          <w:rFonts w:ascii="Times New Roman" w:eastAsia="Lucida Sans Unicode" w:hAnsi="Times New Roman" w:cs="Times New Roman"/>
          <w:sz w:val="28"/>
          <w:szCs w:val="28"/>
        </w:rPr>
        <w:t>9</w:t>
      </w:r>
      <w:r w:rsidRPr="00186AB8">
        <w:rPr>
          <w:rFonts w:ascii="Times New Roman" w:eastAsia="Lucida Sans Unicode" w:hAnsi="Times New Roman" w:cs="Times New Roman"/>
          <w:sz w:val="28"/>
          <w:szCs w:val="28"/>
        </w:rPr>
        <w:t xml:space="preserve">% к </w:t>
      </w:r>
      <w:r w:rsidRPr="00186AB8">
        <w:rPr>
          <w:rFonts w:ascii="Times New Roman" w:eastAsia="Lucida Sans Unicode" w:hAnsi="Times New Roman" w:cs="Times New Roman"/>
          <w:bCs/>
          <w:sz w:val="28"/>
          <w:szCs w:val="28"/>
        </w:rPr>
        <w:t>показателю аналогичного периода 202</w:t>
      </w:r>
      <w:r w:rsidR="00952ED9" w:rsidRPr="00186AB8">
        <w:rPr>
          <w:rFonts w:ascii="Times New Roman" w:eastAsia="Lucida Sans Unicode" w:hAnsi="Times New Roman" w:cs="Times New Roman"/>
          <w:bCs/>
          <w:sz w:val="28"/>
          <w:szCs w:val="28"/>
        </w:rPr>
        <w:t>3</w:t>
      </w:r>
      <w:r w:rsidRPr="00186AB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года</w:t>
      </w:r>
      <w:r w:rsidRPr="00186AB8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Pr="00186AB8">
        <w:rPr>
          <w:rFonts w:ascii="Times New Roman" w:hAnsi="Times New Roman" w:cs="Times New Roman"/>
          <w:sz w:val="28"/>
          <w:szCs w:val="28"/>
        </w:rPr>
        <w:t xml:space="preserve">Ожидается, что по итогам отчетного года данный показатель </w:t>
      </w:r>
      <w:r w:rsidR="00186AB8" w:rsidRPr="00186AB8">
        <w:rPr>
          <w:rFonts w:ascii="Times New Roman" w:hAnsi="Times New Roman" w:cs="Times New Roman"/>
          <w:sz w:val="28"/>
          <w:szCs w:val="28"/>
        </w:rPr>
        <w:t>увеличится до</w:t>
      </w:r>
      <w:r w:rsidRPr="00186AB8">
        <w:rPr>
          <w:rFonts w:ascii="Times New Roman" w:hAnsi="Times New Roman" w:cs="Times New Roman"/>
          <w:sz w:val="28"/>
          <w:szCs w:val="28"/>
        </w:rPr>
        <w:t xml:space="preserve"> </w:t>
      </w:r>
      <w:r w:rsidR="00CE114E">
        <w:rPr>
          <w:rFonts w:ascii="Times New Roman" w:hAnsi="Times New Roman" w:cs="Times New Roman"/>
          <w:sz w:val="28"/>
          <w:szCs w:val="28"/>
        </w:rPr>
        <w:t>7358,35</w:t>
      </w:r>
      <w:r w:rsidRPr="00186AB8">
        <w:rPr>
          <w:rFonts w:ascii="Times New Roman" w:hAnsi="Times New Roman" w:cs="Times New Roman"/>
          <w:sz w:val="28"/>
          <w:szCs w:val="28"/>
        </w:rPr>
        <w:t xml:space="preserve"> млн. рублей при темпе роста к показателю </w:t>
      </w:r>
      <w:r w:rsidR="0091299E" w:rsidRPr="00186AB8">
        <w:rPr>
          <w:rFonts w:ascii="Times New Roman" w:hAnsi="Times New Roman" w:cs="Times New Roman"/>
          <w:sz w:val="28"/>
          <w:szCs w:val="28"/>
        </w:rPr>
        <w:t>прошлого</w:t>
      </w:r>
      <w:r w:rsidRPr="00186A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E114E">
        <w:rPr>
          <w:rFonts w:ascii="Times New Roman" w:hAnsi="Times New Roman" w:cs="Times New Roman"/>
          <w:sz w:val="28"/>
          <w:szCs w:val="28"/>
        </w:rPr>
        <w:t>86,75</w:t>
      </w:r>
      <w:r w:rsidRPr="00186AB8">
        <w:rPr>
          <w:rFonts w:ascii="Times New Roman" w:hAnsi="Times New Roman" w:cs="Times New Roman"/>
          <w:sz w:val="28"/>
          <w:szCs w:val="28"/>
        </w:rPr>
        <w:t>% (в действующих ценах), а в 202</w:t>
      </w:r>
      <w:r w:rsidR="00DC5D3E" w:rsidRPr="00186AB8">
        <w:rPr>
          <w:rFonts w:ascii="Times New Roman" w:hAnsi="Times New Roman" w:cs="Times New Roman"/>
          <w:sz w:val="28"/>
          <w:szCs w:val="28"/>
        </w:rPr>
        <w:t>5</w:t>
      </w:r>
      <w:r w:rsidRPr="00186A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86AB8" w:rsidRPr="00186AB8">
        <w:rPr>
          <w:rFonts w:ascii="Times New Roman" w:hAnsi="Times New Roman" w:cs="Times New Roman"/>
          <w:sz w:val="28"/>
          <w:szCs w:val="28"/>
        </w:rPr>
        <w:t>вырастет</w:t>
      </w:r>
      <w:r w:rsidRPr="00186AB8">
        <w:rPr>
          <w:rFonts w:ascii="Times New Roman" w:hAnsi="Times New Roman" w:cs="Times New Roman"/>
          <w:sz w:val="28"/>
          <w:szCs w:val="28"/>
        </w:rPr>
        <w:t xml:space="preserve"> до </w:t>
      </w:r>
      <w:r w:rsidR="00CE114E">
        <w:rPr>
          <w:rFonts w:ascii="Times New Roman" w:hAnsi="Times New Roman" w:cs="Times New Roman"/>
          <w:sz w:val="28"/>
          <w:szCs w:val="28"/>
        </w:rPr>
        <w:t>7623,25</w:t>
      </w:r>
      <w:r w:rsidRPr="00186AB8">
        <w:rPr>
          <w:rFonts w:ascii="Times New Roman" w:hAnsi="Times New Roman" w:cs="Times New Roman"/>
          <w:sz w:val="28"/>
          <w:szCs w:val="28"/>
        </w:rPr>
        <w:t xml:space="preserve"> млн. рублей (в базовом варианте). </w:t>
      </w:r>
    </w:p>
    <w:p w14:paraId="7C8CD08F" w14:textId="3B84C7EF" w:rsidR="00ED6137" w:rsidRPr="00C0218A" w:rsidRDefault="00742896" w:rsidP="0040151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  <w:highlight w:val="yellow"/>
        </w:rPr>
      </w:pPr>
      <w:r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На долю обрабатывающих производств в объеме </w:t>
      </w:r>
      <w:r w:rsidRPr="008979EE">
        <w:rPr>
          <w:rFonts w:ascii="Times New Roman" w:hAnsi="Times New Roman" w:cs="Times New Roman"/>
          <w:sz w:val="28"/>
          <w:szCs w:val="28"/>
        </w:rPr>
        <w:t>отгруженной продукции</w:t>
      </w:r>
      <w:r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 собственного производства промышленных предприятий приходится </w:t>
      </w:r>
      <w:r w:rsidR="00186AB8" w:rsidRPr="008979EE">
        <w:rPr>
          <w:rFonts w:ascii="Times New Roman" w:eastAsia="Lucida Sans Unicode" w:hAnsi="Times New Roman" w:cs="Times New Roman"/>
          <w:sz w:val="28"/>
          <w:szCs w:val="28"/>
        </w:rPr>
        <w:t>около 54,00</w:t>
      </w:r>
      <w:r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%. </w:t>
      </w:r>
      <w:r w:rsidR="00ED6137"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Объем отгруженной </w:t>
      </w:r>
      <w:r w:rsidR="00DC5D3E" w:rsidRPr="008979EE">
        <w:rPr>
          <w:rFonts w:ascii="Times New Roman" w:eastAsia="Lucida Sans Unicode" w:hAnsi="Times New Roman" w:cs="Times New Roman"/>
          <w:sz w:val="28"/>
          <w:szCs w:val="28"/>
        </w:rPr>
        <w:t>продукции обрабатывающи</w:t>
      </w:r>
      <w:r w:rsidR="006C33C2">
        <w:rPr>
          <w:rFonts w:ascii="Times New Roman" w:eastAsia="Lucida Sans Unicode" w:hAnsi="Times New Roman" w:cs="Times New Roman"/>
          <w:sz w:val="28"/>
          <w:szCs w:val="28"/>
        </w:rPr>
        <w:t>х</w:t>
      </w:r>
      <w:r w:rsidR="00DC5D3E"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 предприяти</w:t>
      </w:r>
      <w:r w:rsidR="006C33C2">
        <w:rPr>
          <w:rFonts w:ascii="Times New Roman" w:eastAsia="Lucida Sans Unicode" w:hAnsi="Times New Roman" w:cs="Times New Roman"/>
          <w:sz w:val="28"/>
          <w:szCs w:val="28"/>
        </w:rPr>
        <w:t>й</w:t>
      </w:r>
      <w:r w:rsidR="00ED6137"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 за январь - </w:t>
      </w:r>
      <w:r w:rsidR="00CC182A">
        <w:rPr>
          <w:rFonts w:ascii="Times New Roman" w:eastAsia="Lucida Sans Unicode" w:hAnsi="Times New Roman" w:cs="Times New Roman"/>
          <w:sz w:val="28"/>
          <w:szCs w:val="28"/>
        </w:rPr>
        <w:t>сентябрь</w:t>
      </w:r>
      <w:r w:rsidR="00ED6137"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 202</w:t>
      </w:r>
      <w:r w:rsidR="0077409F"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4 </w:t>
      </w:r>
      <w:r w:rsidR="00ED6137"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года составил </w:t>
      </w:r>
      <w:r w:rsidR="003C67B9">
        <w:rPr>
          <w:rFonts w:ascii="Times New Roman" w:eastAsia="Lucida Sans Unicode" w:hAnsi="Times New Roman" w:cs="Times New Roman"/>
          <w:sz w:val="28"/>
          <w:szCs w:val="28"/>
        </w:rPr>
        <w:t>2964,71</w:t>
      </w:r>
      <w:r w:rsidR="0077409F"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ED6137"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млн. рублей или </w:t>
      </w:r>
      <w:r w:rsidR="003C67B9">
        <w:rPr>
          <w:rFonts w:ascii="Times New Roman" w:eastAsia="Lucida Sans Unicode" w:hAnsi="Times New Roman" w:cs="Times New Roman"/>
          <w:sz w:val="28"/>
          <w:szCs w:val="28"/>
        </w:rPr>
        <w:t>79,60</w:t>
      </w:r>
      <w:r w:rsidR="00ED6137" w:rsidRPr="008979EE">
        <w:rPr>
          <w:rFonts w:ascii="Times New Roman" w:eastAsia="Lucida Sans Unicode" w:hAnsi="Times New Roman" w:cs="Times New Roman"/>
          <w:sz w:val="28"/>
          <w:szCs w:val="28"/>
        </w:rPr>
        <w:t>% к</w:t>
      </w:r>
      <w:r w:rsidR="00ED6137" w:rsidRPr="008979EE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показателю аналогичного периода 202</w:t>
      </w:r>
      <w:r w:rsidR="0077409F" w:rsidRPr="008979EE">
        <w:rPr>
          <w:rFonts w:ascii="Times New Roman" w:eastAsia="Lucida Sans Unicode" w:hAnsi="Times New Roman" w:cs="Times New Roman"/>
          <w:bCs/>
          <w:sz w:val="28"/>
          <w:szCs w:val="28"/>
        </w:rPr>
        <w:t>3</w:t>
      </w:r>
      <w:r w:rsidR="00ED6137" w:rsidRPr="008979EE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года</w:t>
      </w:r>
      <w:r w:rsidR="006C33C2">
        <w:rPr>
          <w:rFonts w:ascii="Times New Roman" w:eastAsia="Lucida Sans Unicode" w:hAnsi="Times New Roman" w:cs="Times New Roman"/>
          <w:bCs/>
          <w:sz w:val="28"/>
          <w:szCs w:val="28"/>
        </w:rPr>
        <w:t>, с</w:t>
      </w:r>
      <w:r w:rsidR="0077466A" w:rsidRPr="008979EE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ущественное снижение </w:t>
      </w:r>
      <w:r w:rsidR="006C33C2">
        <w:rPr>
          <w:rFonts w:ascii="Times New Roman" w:eastAsia="Lucida Sans Unicode" w:hAnsi="Times New Roman" w:cs="Times New Roman"/>
          <w:bCs/>
          <w:sz w:val="28"/>
          <w:szCs w:val="28"/>
        </w:rPr>
        <w:t>обусловлено изменением</w:t>
      </w:r>
      <w:r w:rsidR="00F478DA" w:rsidRPr="008979EE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во втором полугодии 2023 года ст</w:t>
      </w:r>
      <w:r w:rsidR="005F5A8C" w:rsidRPr="008979EE">
        <w:rPr>
          <w:rFonts w:ascii="Times New Roman" w:eastAsia="Lucida Sans Unicode" w:hAnsi="Times New Roman" w:cs="Times New Roman"/>
          <w:bCs/>
          <w:sz w:val="28"/>
          <w:szCs w:val="28"/>
        </w:rPr>
        <w:t>руктуры хозяйствующих субъектов</w:t>
      </w:r>
      <w:r w:rsidR="00060FC0" w:rsidRPr="008979EE">
        <w:rPr>
          <w:rFonts w:ascii="Times New Roman" w:eastAsia="Lucida Sans Unicode" w:hAnsi="Times New Roman" w:cs="Times New Roman"/>
          <w:bCs/>
          <w:sz w:val="28"/>
          <w:szCs w:val="28"/>
        </w:rPr>
        <w:t xml:space="preserve">. </w:t>
      </w:r>
      <w:r w:rsidR="00ED6137" w:rsidRPr="008979EE">
        <w:rPr>
          <w:rFonts w:ascii="Times New Roman" w:eastAsia="Lucida Sans Unicode" w:hAnsi="Times New Roman" w:cs="Times New Roman"/>
          <w:sz w:val="28"/>
          <w:szCs w:val="28"/>
        </w:rPr>
        <w:t xml:space="preserve">По </w:t>
      </w:r>
      <w:r w:rsidR="00ED6137" w:rsidRPr="008979EE">
        <w:rPr>
          <w:rFonts w:ascii="Times New Roman" w:eastAsia="Calibri" w:hAnsi="Times New Roman" w:cs="Times New Roman"/>
          <w:sz w:val="28"/>
          <w:szCs w:val="28"/>
        </w:rPr>
        <w:t>итогам 202</w:t>
      </w:r>
      <w:r w:rsidR="009E6104" w:rsidRPr="008979EE">
        <w:rPr>
          <w:rFonts w:ascii="Times New Roman" w:eastAsia="Calibri" w:hAnsi="Times New Roman" w:cs="Times New Roman"/>
          <w:sz w:val="28"/>
          <w:szCs w:val="28"/>
        </w:rPr>
        <w:t>4</w:t>
      </w:r>
      <w:r w:rsidR="00ED6137" w:rsidRPr="008979EE">
        <w:rPr>
          <w:rFonts w:ascii="Times New Roman" w:eastAsia="Calibri" w:hAnsi="Times New Roman" w:cs="Times New Roman"/>
          <w:sz w:val="28"/>
          <w:szCs w:val="28"/>
        </w:rPr>
        <w:t xml:space="preserve"> года данный показатель </w:t>
      </w:r>
      <w:r w:rsidR="00060FC0" w:rsidRPr="008979EE">
        <w:rPr>
          <w:rFonts w:ascii="Times New Roman" w:eastAsia="Calibri" w:hAnsi="Times New Roman" w:cs="Times New Roman"/>
          <w:sz w:val="28"/>
          <w:szCs w:val="28"/>
        </w:rPr>
        <w:t>оценивается в</w:t>
      </w:r>
      <w:r w:rsidR="00ED6137" w:rsidRPr="00897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ACD" w:rsidRPr="008979EE">
        <w:rPr>
          <w:rFonts w:ascii="Times New Roman" w:eastAsia="Calibri" w:hAnsi="Times New Roman" w:cs="Times New Roman"/>
          <w:sz w:val="28"/>
          <w:szCs w:val="28"/>
        </w:rPr>
        <w:t>размере</w:t>
      </w:r>
      <w:r w:rsidR="00ED6137" w:rsidRPr="00897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14E">
        <w:rPr>
          <w:rFonts w:ascii="Times New Roman" w:eastAsia="Calibri" w:hAnsi="Times New Roman" w:cs="Times New Roman"/>
          <w:sz w:val="28"/>
          <w:szCs w:val="28"/>
        </w:rPr>
        <w:t>3953,10</w:t>
      </w:r>
      <w:r w:rsidR="00ED6137" w:rsidRPr="008979EE">
        <w:rPr>
          <w:rFonts w:ascii="Times New Roman" w:eastAsia="Calibri" w:hAnsi="Times New Roman" w:cs="Times New Roman"/>
          <w:sz w:val="28"/>
          <w:szCs w:val="28"/>
        </w:rPr>
        <w:t xml:space="preserve"> млн. рублей или </w:t>
      </w:r>
      <w:r w:rsidR="00CE114E">
        <w:rPr>
          <w:rFonts w:ascii="Times New Roman" w:eastAsia="Calibri" w:hAnsi="Times New Roman" w:cs="Times New Roman"/>
          <w:sz w:val="28"/>
          <w:szCs w:val="28"/>
        </w:rPr>
        <w:t>85,40</w:t>
      </w:r>
      <w:r w:rsidR="00ED6137" w:rsidRPr="008979EE">
        <w:rPr>
          <w:rFonts w:ascii="Times New Roman" w:eastAsia="Calibri" w:hAnsi="Times New Roman" w:cs="Times New Roman"/>
          <w:sz w:val="28"/>
          <w:szCs w:val="28"/>
        </w:rPr>
        <w:t>% к показателю 202</w:t>
      </w:r>
      <w:r w:rsidR="009E6104" w:rsidRPr="008979EE">
        <w:rPr>
          <w:rFonts w:ascii="Times New Roman" w:eastAsia="Calibri" w:hAnsi="Times New Roman" w:cs="Times New Roman"/>
          <w:sz w:val="28"/>
          <w:szCs w:val="28"/>
        </w:rPr>
        <w:t>3</w:t>
      </w:r>
      <w:r w:rsidR="00ED6137" w:rsidRPr="008979EE">
        <w:rPr>
          <w:rFonts w:ascii="Times New Roman" w:eastAsia="Calibri" w:hAnsi="Times New Roman" w:cs="Times New Roman"/>
          <w:sz w:val="28"/>
          <w:szCs w:val="28"/>
        </w:rPr>
        <w:t xml:space="preserve"> года (в действующих ценах)</w:t>
      </w:r>
      <w:r w:rsidR="00060FC0" w:rsidRPr="008979EE">
        <w:rPr>
          <w:rFonts w:ascii="Times New Roman" w:eastAsia="Calibri" w:hAnsi="Times New Roman" w:cs="Times New Roman"/>
          <w:sz w:val="28"/>
          <w:szCs w:val="28"/>
        </w:rPr>
        <w:t>. По прогнозу</w:t>
      </w:r>
      <w:r w:rsidR="00ED6137" w:rsidRPr="008979EE">
        <w:rPr>
          <w:rFonts w:ascii="Times New Roman" w:eastAsia="Calibri" w:hAnsi="Times New Roman" w:cs="Times New Roman"/>
          <w:sz w:val="28"/>
          <w:szCs w:val="28"/>
        </w:rPr>
        <w:t xml:space="preserve"> в базовом варианте в 202</w:t>
      </w:r>
      <w:r w:rsidR="009E6104" w:rsidRPr="008979E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ED6137" w:rsidRPr="008979EE">
        <w:rPr>
          <w:rFonts w:ascii="Times New Roman" w:eastAsia="Calibri" w:hAnsi="Times New Roman" w:cs="Times New Roman"/>
          <w:sz w:val="28"/>
          <w:szCs w:val="28"/>
        </w:rPr>
        <w:t xml:space="preserve">году темп роста </w:t>
      </w:r>
      <w:r w:rsidR="00060FC0" w:rsidRPr="008979EE">
        <w:rPr>
          <w:rFonts w:ascii="Times New Roman" w:eastAsia="Calibri" w:hAnsi="Times New Roman" w:cs="Times New Roman"/>
          <w:sz w:val="28"/>
          <w:szCs w:val="28"/>
        </w:rPr>
        <w:t>увеличит</w:t>
      </w:r>
      <w:r w:rsidR="009E6104" w:rsidRPr="008979EE">
        <w:rPr>
          <w:rFonts w:ascii="Times New Roman" w:eastAsia="Calibri" w:hAnsi="Times New Roman" w:cs="Times New Roman"/>
          <w:sz w:val="28"/>
          <w:szCs w:val="28"/>
        </w:rPr>
        <w:t>ся до 10</w:t>
      </w:r>
      <w:r w:rsidR="008979EE" w:rsidRPr="008979EE">
        <w:rPr>
          <w:rFonts w:ascii="Times New Roman" w:eastAsia="Calibri" w:hAnsi="Times New Roman" w:cs="Times New Roman"/>
          <w:sz w:val="28"/>
          <w:szCs w:val="28"/>
        </w:rPr>
        <w:t>4,8</w:t>
      </w:r>
      <w:r w:rsidR="009E6104" w:rsidRPr="008979EE">
        <w:rPr>
          <w:rFonts w:ascii="Times New Roman" w:eastAsia="Calibri" w:hAnsi="Times New Roman" w:cs="Times New Roman"/>
          <w:sz w:val="28"/>
          <w:szCs w:val="28"/>
        </w:rPr>
        <w:t>%</w:t>
      </w:r>
      <w:r w:rsidR="00ED6137" w:rsidRPr="008979EE">
        <w:rPr>
          <w:rFonts w:ascii="Times New Roman" w:eastAsia="Calibri" w:hAnsi="Times New Roman" w:cs="Times New Roman"/>
          <w:sz w:val="28"/>
          <w:szCs w:val="28"/>
        </w:rPr>
        <w:t xml:space="preserve">, а объем </w:t>
      </w:r>
      <w:r w:rsidR="00ED6137" w:rsidRPr="008979EE">
        <w:rPr>
          <w:rFonts w:ascii="Times New Roman" w:hAnsi="Times New Roman" w:cs="Times New Roman"/>
          <w:sz w:val="28"/>
          <w:szCs w:val="28"/>
        </w:rPr>
        <w:t xml:space="preserve">отгруженной продукции достигнет </w:t>
      </w:r>
      <w:r w:rsidR="00CE114E">
        <w:rPr>
          <w:rFonts w:ascii="Times New Roman" w:hAnsi="Times New Roman" w:cs="Times New Roman"/>
          <w:sz w:val="28"/>
          <w:szCs w:val="28"/>
        </w:rPr>
        <w:t>4142,85</w:t>
      </w:r>
      <w:r w:rsidR="00ED6137" w:rsidRPr="008979EE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14:paraId="018C80FD" w14:textId="655D21C1" w:rsidR="00ED6137" w:rsidRPr="0040151F" w:rsidRDefault="00ED6137" w:rsidP="00CE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EE">
        <w:rPr>
          <w:rFonts w:ascii="Times New Roman" w:hAnsi="Times New Roman" w:cs="Times New Roman"/>
          <w:sz w:val="28"/>
          <w:szCs w:val="28"/>
        </w:rPr>
        <w:lastRenderedPageBreak/>
        <w:t xml:space="preserve">По расчетам, в </w:t>
      </w:r>
      <w:r w:rsidR="00CE114E">
        <w:rPr>
          <w:rFonts w:ascii="Times New Roman" w:hAnsi="Times New Roman" w:cs="Times New Roman"/>
          <w:sz w:val="28"/>
          <w:szCs w:val="28"/>
        </w:rPr>
        <w:t>среднесрочной перспективе</w:t>
      </w:r>
      <w:r w:rsidRPr="008979EE">
        <w:rPr>
          <w:rFonts w:ascii="Times New Roman" w:hAnsi="Times New Roman" w:cs="Times New Roman"/>
          <w:sz w:val="28"/>
          <w:szCs w:val="28"/>
        </w:rPr>
        <w:t xml:space="preserve"> будет сохраняться положительная динамика развития промышленного производства. Ожидается, что в 202</w:t>
      </w:r>
      <w:r w:rsidR="00756E2F" w:rsidRPr="008979EE">
        <w:rPr>
          <w:rFonts w:ascii="Times New Roman" w:hAnsi="Times New Roman" w:cs="Times New Roman"/>
          <w:sz w:val="28"/>
          <w:szCs w:val="28"/>
        </w:rPr>
        <w:t>7</w:t>
      </w:r>
      <w:r w:rsidRPr="008979EE">
        <w:rPr>
          <w:rFonts w:ascii="Times New Roman" w:hAnsi="Times New Roman" w:cs="Times New Roman"/>
          <w:sz w:val="28"/>
          <w:szCs w:val="28"/>
        </w:rPr>
        <w:t xml:space="preserve"> году объем отгруженной</w:t>
      </w:r>
      <w:r w:rsidR="00CE114E">
        <w:rPr>
          <w:rFonts w:ascii="Times New Roman" w:hAnsi="Times New Roman" w:cs="Times New Roman"/>
          <w:sz w:val="28"/>
          <w:szCs w:val="28"/>
        </w:rPr>
        <w:t xml:space="preserve"> промышленной</w:t>
      </w:r>
      <w:r w:rsidRPr="008979EE">
        <w:rPr>
          <w:rFonts w:ascii="Times New Roman" w:hAnsi="Times New Roman" w:cs="Times New Roman"/>
          <w:sz w:val="28"/>
          <w:szCs w:val="28"/>
        </w:rPr>
        <w:t xml:space="preserve"> продукции достигнет </w:t>
      </w:r>
      <w:r w:rsidR="00CE114E">
        <w:rPr>
          <w:rFonts w:ascii="Times New Roman" w:hAnsi="Times New Roman" w:cs="Times New Roman"/>
          <w:sz w:val="28"/>
          <w:szCs w:val="28"/>
        </w:rPr>
        <w:t>8237,38</w:t>
      </w:r>
      <w:r w:rsidRPr="008979E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CC182A">
        <w:rPr>
          <w:rFonts w:ascii="Times New Roman" w:hAnsi="Times New Roman" w:cs="Times New Roman"/>
          <w:sz w:val="28"/>
          <w:szCs w:val="28"/>
        </w:rPr>
        <w:t>, а объем продукции обрабатывающих производств - 4545,75 млн. рублей.</w:t>
      </w:r>
      <w:r w:rsidRPr="008979EE">
        <w:rPr>
          <w:rFonts w:ascii="Times New Roman" w:hAnsi="Times New Roman" w:cs="Times New Roman"/>
          <w:sz w:val="28"/>
          <w:szCs w:val="28"/>
        </w:rPr>
        <w:t xml:space="preserve"> Росту </w:t>
      </w:r>
      <w:r w:rsidR="00CC182A">
        <w:rPr>
          <w:rFonts w:ascii="Times New Roman" w:hAnsi="Times New Roman" w:cs="Times New Roman"/>
          <w:sz w:val="28"/>
          <w:szCs w:val="28"/>
        </w:rPr>
        <w:t>показателей</w:t>
      </w:r>
      <w:r w:rsidRPr="008979EE"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 w:rsidR="00060FC0" w:rsidRPr="008979EE">
        <w:rPr>
          <w:rFonts w:ascii="Times New Roman" w:hAnsi="Times New Roman" w:cs="Times New Roman"/>
          <w:sz w:val="28"/>
          <w:szCs w:val="28"/>
        </w:rPr>
        <w:t xml:space="preserve">вовлечение предприятий округа в </w:t>
      </w:r>
      <w:r w:rsidRPr="008979EE">
        <w:rPr>
          <w:rFonts w:ascii="Times New Roman" w:hAnsi="Times New Roman" w:cs="Times New Roman"/>
          <w:sz w:val="28"/>
          <w:szCs w:val="28"/>
        </w:rPr>
        <w:t>реализаци</w:t>
      </w:r>
      <w:r w:rsidR="00060FC0" w:rsidRPr="008979EE">
        <w:rPr>
          <w:rFonts w:ascii="Times New Roman" w:hAnsi="Times New Roman" w:cs="Times New Roman"/>
          <w:sz w:val="28"/>
          <w:szCs w:val="28"/>
        </w:rPr>
        <w:t>ю</w:t>
      </w:r>
      <w:r w:rsidRPr="008979EE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060FC0" w:rsidRPr="008979EE">
        <w:rPr>
          <w:rFonts w:ascii="Times New Roman" w:hAnsi="Times New Roman" w:cs="Times New Roman"/>
          <w:sz w:val="28"/>
          <w:szCs w:val="28"/>
        </w:rPr>
        <w:t>го</w:t>
      </w:r>
      <w:r w:rsidRPr="008979E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0FC0" w:rsidRPr="008979EE">
        <w:rPr>
          <w:rFonts w:ascii="Times New Roman" w:hAnsi="Times New Roman" w:cs="Times New Roman"/>
          <w:sz w:val="28"/>
          <w:szCs w:val="28"/>
        </w:rPr>
        <w:t>а</w:t>
      </w:r>
      <w:r w:rsidRPr="008979EE">
        <w:rPr>
          <w:rFonts w:ascii="Times New Roman" w:hAnsi="Times New Roman" w:cs="Times New Roman"/>
          <w:sz w:val="28"/>
          <w:szCs w:val="28"/>
        </w:rPr>
        <w:t xml:space="preserve"> «Системные меры развития международной кооперации и экспорта Ставропольского края»</w:t>
      </w:r>
      <w:r w:rsidR="00060FC0" w:rsidRPr="008979EE">
        <w:rPr>
          <w:rFonts w:ascii="Times New Roman" w:hAnsi="Times New Roman" w:cs="Times New Roman"/>
          <w:sz w:val="28"/>
          <w:szCs w:val="28"/>
        </w:rPr>
        <w:t>, это</w:t>
      </w:r>
      <w:r w:rsidRPr="008979EE">
        <w:rPr>
          <w:rFonts w:ascii="Times New Roman" w:hAnsi="Times New Roman" w:cs="Times New Roman"/>
          <w:sz w:val="28"/>
          <w:szCs w:val="28"/>
        </w:rPr>
        <w:t xml:space="preserve"> позволит обрабатывающим предприятиям округа выйти на новые рынки сбыта.</w:t>
      </w:r>
      <w:r w:rsidRPr="00401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9D857" w14:textId="77777777" w:rsidR="003C67B9" w:rsidRDefault="003C67B9" w:rsidP="00B62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D2ACD" w14:textId="7F78C1A5" w:rsidR="00ED6137" w:rsidRPr="0040151F" w:rsidRDefault="00ED6137" w:rsidP="00B62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51F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14:paraId="225DF7C2" w14:textId="4CDD761E" w:rsidR="00C0218A" w:rsidRDefault="00ED6137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276572" w:rsidRPr="0040151F">
        <w:rPr>
          <w:rFonts w:ascii="Times New Roman" w:hAnsi="Times New Roman" w:cs="Times New Roman"/>
          <w:sz w:val="28"/>
          <w:szCs w:val="28"/>
        </w:rPr>
        <w:t>развития</w:t>
      </w:r>
      <w:r w:rsidRPr="0040151F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276572" w:rsidRPr="0040151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0218A">
        <w:rPr>
          <w:rFonts w:ascii="Times New Roman" w:hAnsi="Times New Roman" w:cs="Times New Roman"/>
          <w:sz w:val="28"/>
          <w:szCs w:val="28"/>
        </w:rPr>
        <w:t xml:space="preserve">разработан на основе оперативной информации о производстве основных видов сельскохозяйственной продукции во всех категориях хозяйств за 9 месяцев 2024 года и предварительной структуре посевных площадей на 2025 год. </w:t>
      </w:r>
    </w:p>
    <w:p w14:paraId="61024902" w14:textId="73A27A90" w:rsidR="00ED6137" w:rsidRPr="0040151F" w:rsidRDefault="00C0218A" w:rsidP="000F58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Негативные погодные условия в осенне-весенний период </w:t>
      </w:r>
      <w:r w:rsidR="00CC182A">
        <w:rPr>
          <w:rFonts w:ascii="Times New Roman" w:hAnsi="Times New Roman" w:cs="Times New Roman"/>
          <w:sz w:val="28"/>
          <w:szCs w:val="28"/>
        </w:rPr>
        <w:t xml:space="preserve">2023 – 2024 годов </w:t>
      </w:r>
      <w:r>
        <w:rPr>
          <w:rFonts w:ascii="Times New Roman" w:hAnsi="Times New Roman" w:cs="Times New Roman"/>
          <w:sz w:val="28"/>
          <w:szCs w:val="28"/>
        </w:rPr>
        <w:t>оказали существенное влияние на формирование урожая основных сельскохозяйственных культур. В результате валовой сбор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зерновых и зернобобовых культур в отчетном году </w:t>
      </w:r>
      <w:r>
        <w:rPr>
          <w:rFonts w:ascii="Times New Roman" w:hAnsi="Times New Roman" w:cs="Times New Roman"/>
          <w:sz w:val="28"/>
          <w:szCs w:val="28"/>
        </w:rPr>
        <w:t xml:space="preserve">существенно ниже - 308,4 тыс. тонн </w:t>
      </w:r>
      <w:r w:rsidR="00702451">
        <w:rPr>
          <w:rFonts w:ascii="Times New Roman" w:hAnsi="Times New Roman" w:cs="Times New Roman"/>
          <w:sz w:val="28"/>
          <w:szCs w:val="28"/>
        </w:rPr>
        <w:t>против 524,02 тыс. тонн в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702451">
        <w:rPr>
          <w:rFonts w:ascii="Times New Roman" w:hAnsi="Times New Roman" w:cs="Times New Roman"/>
          <w:sz w:val="28"/>
          <w:szCs w:val="28"/>
        </w:rPr>
        <w:t>202</w:t>
      </w:r>
      <w:r w:rsidR="00CE114E">
        <w:rPr>
          <w:rFonts w:ascii="Times New Roman" w:hAnsi="Times New Roman" w:cs="Times New Roman"/>
          <w:sz w:val="28"/>
          <w:szCs w:val="28"/>
        </w:rPr>
        <w:t>3</w:t>
      </w:r>
      <w:r w:rsidR="00702451">
        <w:rPr>
          <w:rFonts w:ascii="Times New Roman" w:hAnsi="Times New Roman" w:cs="Times New Roman"/>
          <w:sz w:val="28"/>
          <w:szCs w:val="28"/>
        </w:rPr>
        <w:t xml:space="preserve"> году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. Производство картофеля и овощных культур оценивается в </w:t>
      </w:r>
      <w:r w:rsidR="008278DA" w:rsidRPr="0040151F">
        <w:rPr>
          <w:rFonts w:ascii="Times New Roman" w:hAnsi="Times New Roman" w:cs="Times New Roman"/>
          <w:sz w:val="28"/>
          <w:szCs w:val="28"/>
        </w:rPr>
        <w:t>3</w:t>
      </w:r>
      <w:r w:rsidR="00ED6137" w:rsidRPr="0040151F">
        <w:rPr>
          <w:rFonts w:ascii="Times New Roman" w:hAnsi="Times New Roman" w:cs="Times New Roman"/>
          <w:sz w:val="28"/>
          <w:szCs w:val="28"/>
        </w:rPr>
        <w:t>2</w:t>
      </w:r>
      <w:r w:rsidR="00747C81" w:rsidRPr="0040151F">
        <w:rPr>
          <w:rFonts w:ascii="Times New Roman" w:hAnsi="Times New Roman" w:cs="Times New Roman"/>
          <w:sz w:val="28"/>
          <w:szCs w:val="28"/>
        </w:rPr>
        <w:t>,00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CE114E">
        <w:rPr>
          <w:rFonts w:ascii="Times New Roman" w:hAnsi="Times New Roman" w:cs="Times New Roman"/>
          <w:sz w:val="28"/>
          <w:szCs w:val="28"/>
        </w:rPr>
        <w:t>,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002878">
        <w:rPr>
          <w:rFonts w:ascii="Times New Roman" w:hAnsi="Times New Roman" w:cs="Times New Roman"/>
          <w:sz w:val="28"/>
          <w:szCs w:val="28"/>
        </w:rPr>
        <w:t>прежде всего за счет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002878">
        <w:rPr>
          <w:rFonts w:ascii="Times New Roman" w:hAnsi="Times New Roman" w:cs="Times New Roman"/>
          <w:sz w:val="28"/>
          <w:szCs w:val="28"/>
        </w:rPr>
        <w:t>я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посевных площадей данных культур </w:t>
      </w:r>
      <w:r w:rsidR="00002878">
        <w:rPr>
          <w:rFonts w:ascii="Times New Roman" w:hAnsi="Times New Roman" w:cs="Times New Roman"/>
          <w:sz w:val="28"/>
          <w:szCs w:val="28"/>
        </w:rPr>
        <w:t xml:space="preserve">на 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орошаемых землях. Ожидается уменьшение производства основных видов животноводства </w:t>
      </w:r>
      <w:r w:rsidR="00702451">
        <w:rPr>
          <w:rFonts w:ascii="Times New Roman" w:hAnsi="Times New Roman" w:cs="Times New Roman"/>
          <w:sz w:val="28"/>
          <w:szCs w:val="28"/>
        </w:rPr>
        <w:t xml:space="preserve">в связи с сокращением </w:t>
      </w:r>
      <w:r w:rsidR="00702451" w:rsidRPr="0040151F">
        <w:rPr>
          <w:rFonts w:ascii="Times New Roman" w:hAnsi="Times New Roman" w:cs="Times New Roman"/>
          <w:sz w:val="28"/>
          <w:szCs w:val="28"/>
        </w:rPr>
        <w:t>численности</w:t>
      </w:r>
      <w:r w:rsidR="00702451">
        <w:rPr>
          <w:rFonts w:ascii="Times New Roman" w:hAnsi="Times New Roman" w:cs="Times New Roman"/>
          <w:sz w:val="28"/>
          <w:szCs w:val="28"/>
        </w:rPr>
        <w:t xml:space="preserve"> поголовья основных сельскохозяйственных животных во всех категориях хозяйств.</w:t>
      </w:r>
      <w:r w:rsidR="000F58D6">
        <w:rPr>
          <w:rFonts w:ascii="Times New Roman" w:hAnsi="Times New Roman" w:cs="Times New Roman"/>
          <w:sz w:val="28"/>
          <w:szCs w:val="28"/>
        </w:rPr>
        <w:t xml:space="preserve"> </w:t>
      </w:r>
      <w:r w:rsidR="00702451">
        <w:rPr>
          <w:rFonts w:ascii="Times New Roman" w:hAnsi="Times New Roman" w:cs="Times New Roman"/>
          <w:sz w:val="28"/>
          <w:szCs w:val="28"/>
        </w:rPr>
        <w:t>По оценке, о</w:t>
      </w:r>
      <w:r w:rsidR="00ED6137" w:rsidRPr="0040151F">
        <w:rPr>
          <w:rFonts w:ascii="Times New Roman" w:hAnsi="Times New Roman" w:cs="Times New Roman"/>
          <w:sz w:val="28"/>
          <w:szCs w:val="28"/>
        </w:rPr>
        <w:t>бъем продукции сельского хозяйства по итогам 202</w:t>
      </w:r>
      <w:r w:rsidR="008278DA" w:rsidRPr="0040151F">
        <w:rPr>
          <w:rFonts w:ascii="Times New Roman" w:hAnsi="Times New Roman" w:cs="Times New Roman"/>
          <w:sz w:val="28"/>
          <w:szCs w:val="28"/>
        </w:rPr>
        <w:t>4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2451">
        <w:rPr>
          <w:rFonts w:ascii="Times New Roman" w:hAnsi="Times New Roman" w:cs="Times New Roman"/>
          <w:sz w:val="28"/>
          <w:szCs w:val="28"/>
        </w:rPr>
        <w:t xml:space="preserve">составит 10698,93 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702451">
        <w:rPr>
          <w:rFonts w:ascii="Times New Roman" w:hAnsi="Times New Roman" w:cs="Times New Roman"/>
          <w:sz w:val="28"/>
          <w:szCs w:val="28"/>
        </w:rPr>
        <w:t>73,80</w:t>
      </w:r>
      <w:r w:rsidR="00ED6137" w:rsidRPr="0040151F">
        <w:rPr>
          <w:rFonts w:ascii="Times New Roman" w:hAnsi="Times New Roman" w:cs="Times New Roman"/>
          <w:sz w:val="28"/>
          <w:szCs w:val="28"/>
        </w:rPr>
        <w:t>% к значению 202</w:t>
      </w:r>
      <w:r w:rsidR="008278DA" w:rsidRPr="0040151F">
        <w:rPr>
          <w:rFonts w:ascii="Times New Roman" w:hAnsi="Times New Roman" w:cs="Times New Roman"/>
          <w:sz w:val="28"/>
          <w:szCs w:val="28"/>
        </w:rPr>
        <w:t>3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года (в сопоставимых ценах), </w:t>
      </w:r>
      <w:r w:rsidR="00702451">
        <w:rPr>
          <w:rFonts w:ascii="Times New Roman" w:hAnsi="Times New Roman" w:cs="Times New Roman"/>
          <w:sz w:val="28"/>
          <w:szCs w:val="28"/>
        </w:rPr>
        <w:t>более 60,0</w:t>
      </w:r>
      <w:r w:rsidR="00ED6137" w:rsidRPr="0040151F">
        <w:rPr>
          <w:rFonts w:ascii="Times New Roman" w:hAnsi="Times New Roman" w:cs="Times New Roman"/>
          <w:sz w:val="28"/>
          <w:szCs w:val="28"/>
        </w:rPr>
        <w:t>% произведенной продукции будет приходит</w:t>
      </w:r>
      <w:r w:rsidR="00CC182A">
        <w:rPr>
          <w:rFonts w:ascii="Times New Roman" w:hAnsi="Times New Roman" w:cs="Times New Roman"/>
          <w:sz w:val="28"/>
          <w:szCs w:val="28"/>
        </w:rPr>
        <w:t>ь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ся на растениеводство. </w:t>
      </w:r>
    </w:p>
    <w:p w14:paraId="2FB7B622" w14:textId="069DD824" w:rsidR="00ED6137" w:rsidRPr="0040151F" w:rsidRDefault="00ED6137" w:rsidP="0040151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В 202</w:t>
      </w:r>
      <w:r w:rsidR="003E045C" w:rsidRPr="0040151F">
        <w:rPr>
          <w:rFonts w:ascii="Times New Roman" w:hAnsi="Times New Roman" w:cs="Times New Roman"/>
          <w:sz w:val="28"/>
          <w:szCs w:val="28"/>
        </w:rPr>
        <w:t>5</w:t>
      </w:r>
      <w:r w:rsidRPr="004015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76572" w:rsidRPr="0040151F">
        <w:rPr>
          <w:rFonts w:ascii="Times New Roman" w:hAnsi="Times New Roman" w:cs="Times New Roman"/>
          <w:sz w:val="28"/>
          <w:szCs w:val="28"/>
        </w:rPr>
        <w:t>базовый вариант прогноза предусматривает, что</w:t>
      </w:r>
      <w:r w:rsidR="00BF01EB">
        <w:rPr>
          <w:rFonts w:ascii="Times New Roman" w:hAnsi="Times New Roman" w:cs="Times New Roman"/>
          <w:sz w:val="28"/>
          <w:szCs w:val="28"/>
        </w:rPr>
        <w:t xml:space="preserve"> </w:t>
      </w:r>
      <w:r w:rsidRPr="0040151F">
        <w:rPr>
          <w:rFonts w:ascii="Times New Roman" w:hAnsi="Times New Roman" w:cs="Times New Roman"/>
          <w:sz w:val="28"/>
          <w:szCs w:val="28"/>
        </w:rPr>
        <w:t xml:space="preserve">в общем объеме произведенной </w:t>
      </w:r>
      <w:r w:rsidR="00CE114E">
        <w:rPr>
          <w:rFonts w:ascii="Times New Roman" w:hAnsi="Times New Roman" w:cs="Times New Roman"/>
          <w:sz w:val="28"/>
          <w:szCs w:val="28"/>
        </w:rPr>
        <w:t>сельхозпродукции</w:t>
      </w:r>
      <w:r w:rsidRPr="0040151F">
        <w:rPr>
          <w:rFonts w:ascii="Times New Roman" w:hAnsi="Times New Roman" w:cs="Times New Roman"/>
          <w:sz w:val="28"/>
          <w:szCs w:val="28"/>
        </w:rPr>
        <w:t xml:space="preserve"> сохранится преобладание растениеводческой продукции, а ее объем </w:t>
      </w:r>
      <w:r w:rsidR="00702451">
        <w:rPr>
          <w:rFonts w:ascii="Times New Roman" w:hAnsi="Times New Roman" w:cs="Times New Roman"/>
          <w:sz w:val="28"/>
          <w:szCs w:val="28"/>
        </w:rPr>
        <w:t>увеличится до</w:t>
      </w:r>
      <w:r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702451">
        <w:rPr>
          <w:rFonts w:ascii="Times New Roman" w:hAnsi="Times New Roman" w:cs="Times New Roman"/>
          <w:sz w:val="28"/>
          <w:szCs w:val="28"/>
        </w:rPr>
        <w:t>8204,33</w:t>
      </w:r>
      <w:r w:rsidRPr="0040151F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CC182A" w:rsidRPr="00CC182A">
        <w:rPr>
          <w:rFonts w:ascii="Times New Roman" w:hAnsi="Times New Roman" w:cs="Times New Roman"/>
          <w:sz w:val="28"/>
          <w:szCs w:val="28"/>
        </w:rPr>
        <w:t xml:space="preserve"> </w:t>
      </w:r>
      <w:r w:rsidR="00CC182A">
        <w:rPr>
          <w:rFonts w:ascii="Times New Roman" w:hAnsi="Times New Roman" w:cs="Times New Roman"/>
          <w:sz w:val="28"/>
          <w:szCs w:val="28"/>
        </w:rPr>
        <w:t xml:space="preserve">при темпе роста </w:t>
      </w:r>
      <w:r w:rsidR="00CC182A">
        <w:rPr>
          <w:rFonts w:ascii="Times New Roman" w:hAnsi="Times New Roman" w:cs="Times New Roman"/>
          <w:sz w:val="28"/>
          <w:szCs w:val="28"/>
        </w:rPr>
        <w:t>113,83</w:t>
      </w:r>
      <w:r w:rsidR="00CC182A">
        <w:rPr>
          <w:rFonts w:ascii="Times New Roman" w:hAnsi="Times New Roman" w:cs="Times New Roman"/>
          <w:sz w:val="28"/>
          <w:szCs w:val="28"/>
        </w:rPr>
        <w:t>% к 2024 году (</w:t>
      </w:r>
      <w:r w:rsidR="00CC182A" w:rsidRPr="0040151F">
        <w:rPr>
          <w:rFonts w:ascii="Times New Roman" w:hAnsi="Times New Roman" w:cs="Times New Roman"/>
          <w:sz w:val="28"/>
          <w:szCs w:val="28"/>
        </w:rPr>
        <w:t>в сопоставимых ценах).</w:t>
      </w:r>
      <w:r w:rsidRPr="004015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58D6">
        <w:rPr>
          <w:rFonts w:ascii="Times New Roman" w:hAnsi="Times New Roman" w:cs="Times New Roman"/>
          <w:sz w:val="28"/>
          <w:szCs w:val="28"/>
        </w:rPr>
        <w:t>П</w:t>
      </w:r>
      <w:r w:rsidR="000F58D6" w:rsidRPr="0040151F">
        <w:rPr>
          <w:rFonts w:ascii="Times New Roman" w:hAnsi="Times New Roman" w:cs="Times New Roman"/>
          <w:sz w:val="28"/>
          <w:szCs w:val="28"/>
        </w:rPr>
        <w:t xml:space="preserve">роизводство продукции животноводства </w:t>
      </w:r>
      <w:r w:rsidR="00CC182A">
        <w:rPr>
          <w:rFonts w:ascii="Times New Roman" w:hAnsi="Times New Roman" w:cs="Times New Roman"/>
          <w:sz w:val="28"/>
          <w:szCs w:val="28"/>
        </w:rPr>
        <w:t>возрастет до</w:t>
      </w:r>
      <w:r w:rsidR="000F58D6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0F58D6">
        <w:rPr>
          <w:rFonts w:ascii="Times New Roman" w:hAnsi="Times New Roman" w:cs="Times New Roman"/>
          <w:sz w:val="28"/>
          <w:szCs w:val="28"/>
        </w:rPr>
        <w:t>3</w:t>
      </w:r>
      <w:r w:rsidR="003C67B9">
        <w:rPr>
          <w:rFonts w:ascii="Times New Roman" w:hAnsi="Times New Roman" w:cs="Times New Roman"/>
          <w:sz w:val="28"/>
          <w:szCs w:val="28"/>
        </w:rPr>
        <w:t>513</w:t>
      </w:r>
      <w:r w:rsidR="000F58D6">
        <w:rPr>
          <w:rFonts w:ascii="Times New Roman" w:hAnsi="Times New Roman" w:cs="Times New Roman"/>
          <w:sz w:val="28"/>
          <w:szCs w:val="28"/>
        </w:rPr>
        <w:t>,6</w:t>
      </w:r>
      <w:r w:rsidR="00186AB8" w:rsidRPr="00186AB8">
        <w:rPr>
          <w:rFonts w:ascii="Times New Roman" w:hAnsi="Times New Roman" w:cs="Times New Roman"/>
          <w:sz w:val="28"/>
          <w:szCs w:val="28"/>
        </w:rPr>
        <w:t>8</w:t>
      </w:r>
      <w:r w:rsidR="000F58D6" w:rsidRPr="0040151F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3C67B9">
        <w:rPr>
          <w:rFonts w:ascii="Times New Roman" w:hAnsi="Times New Roman" w:cs="Times New Roman"/>
          <w:sz w:val="28"/>
          <w:szCs w:val="28"/>
        </w:rPr>
        <w:t xml:space="preserve">при темпе роста </w:t>
      </w:r>
      <w:r w:rsidR="00CC182A">
        <w:rPr>
          <w:rFonts w:ascii="Times New Roman" w:hAnsi="Times New Roman" w:cs="Times New Roman"/>
          <w:sz w:val="28"/>
          <w:szCs w:val="28"/>
        </w:rPr>
        <w:t>104,27</w:t>
      </w:r>
      <w:r w:rsidR="000F58D6">
        <w:rPr>
          <w:rFonts w:ascii="Times New Roman" w:hAnsi="Times New Roman" w:cs="Times New Roman"/>
          <w:sz w:val="28"/>
          <w:szCs w:val="28"/>
        </w:rPr>
        <w:t>%</w:t>
      </w:r>
      <w:r w:rsidR="00CC182A" w:rsidRPr="00CC182A">
        <w:rPr>
          <w:rFonts w:ascii="Times New Roman" w:hAnsi="Times New Roman" w:cs="Times New Roman"/>
          <w:sz w:val="28"/>
          <w:szCs w:val="28"/>
        </w:rPr>
        <w:t xml:space="preserve"> </w:t>
      </w:r>
      <w:r w:rsidR="00CC182A">
        <w:rPr>
          <w:rFonts w:ascii="Times New Roman" w:hAnsi="Times New Roman" w:cs="Times New Roman"/>
          <w:sz w:val="28"/>
          <w:szCs w:val="28"/>
        </w:rPr>
        <w:t>к 2024 году</w:t>
      </w:r>
      <w:r w:rsidR="000F58D6">
        <w:rPr>
          <w:rFonts w:ascii="Times New Roman" w:hAnsi="Times New Roman" w:cs="Times New Roman"/>
          <w:sz w:val="28"/>
          <w:szCs w:val="28"/>
        </w:rPr>
        <w:t xml:space="preserve"> </w:t>
      </w:r>
      <w:r w:rsidR="003C67B9">
        <w:rPr>
          <w:rFonts w:ascii="Times New Roman" w:hAnsi="Times New Roman" w:cs="Times New Roman"/>
          <w:sz w:val="28"/>
          <w:szCs w:val="28"/>
        </w:rPr>
        <w:t>(</w:t>
      </w:r>
      <w:r w:rsidR="000F58D6" w:rsidRPr="0040151F">
        <w:rPr>
          <w:rFonts w:ascii="Times New Roman" w:hAnsi="Times New Roman" w:cs="Times New Roman"/>
          <w:sz w:val="28"/>
          <w:szCs w:val="28"/>
        </w:rPr>
        <w:t xml:space="preserve">в сопоставимых ценах). </w:t>
      </w:r>
      <w:r w:rsidR="000F58D6" w:rsidRPr="000F58D6">
        <w:rPr>
          <w:rFonts w:ascii="Times New Roman" w:hAnsi="Times New Roman" w:cs="Times New Roman"/>
          <w:sz w:val="28"/>
          <w:szCs w:val="28"/>
        </w:rPr>
        <w:t xml:space="preserve">Среди основных рисков, способных оказать влияние </w:t>
      </w:r>
      <w:r w:rsidR="000F58D6">
        <w:rPr>
          <w:rFonts w:ascii="Times New Roman" w:hAnsi="Times New Roman" w:cs="Times New Roman"/>
          <w:sz w:val="28"/>
          <w:szCs w:val="28"/>
        </w:rPr>
        <w:t>на развитие сельского хозяйства,</w:t>
      </w:r>
      <w:r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702451">
        <w:rPr>
          <w:rFonts w:ascii="Times New Roman" w:hAnsi="Times New Roman" w:cs="Times New Roman"/>
          <w:sz w:val="28"/>
          <w:szCs w:val="28"/>
        </w:rPr>
        <w:t>остаются</w:t>
      </w:r>
      <w:r w:rsidRPr="0040151F">
        <w:rPr>
          <w:rFonts w:ascii="Times New Roman" w:hAnsi="Times New Roman" w:cs="Times New Roman"/>
          <w:sz w:val="28"/>
          <w:szCs w:val="28"/>
        </w:rPr>
        <w:t xml:space="preserve"> аномальные погодные условия</w:t>
      </w:r>
      <w:r w:rsidR="00186AB8">
        <w:rPr>
          <w:rFonts w:ascii="Times New Roman" w:hAnsi="Times New Roman" w:cs="Times New Roman"/>
          <w:sz w:val="28"/>
          <w:szCs w:val="28"/>
        </w:rPr>
        <w:t xml:space="preserve"> </w:t>
      </w:r>
      <w:r w:rsidR="00186AB8" w:rsidRPr="0040151F">
        <w:rPr>
          <w:rFonts w:ascii="Times New Roman" w:hAnsi="Times New Roman" w:cs="Times New Roman"/>
          <w:sz w:val="28"/>
          <w:szCs w:val="28"/>
        </w:rPr>
        <w:t>в весенне-летний период</w:t>
      </w:r>
      <w:r w:rsidR="00186AB8">
        <w:rPr>
          <w:rFonts w:ascii="Times New Roman" w:hAnsi="Times New Roman" w:cs="Times New Roman"/>
          <w:sz w:val="28"/>
          <w:szCs w:val="28"/>
        </w:rPr>
        <w:t xml:space="preserve"> (</w:t>
      </w:r>
      <w:r w:rsidRPr="0040151F">
        <w:rPr>
          <w:rFonts w:ascii="Times New Roman" w:hAnsi="Times New Roman" w:cs="Times New Roman"/>
          <w:sz w:val="28"/>
          <w:szCs w:val="28"/>
        </w:rPr>
        <w:t>почвенная засуха, ливневые дожди и градобой</w:t>
      </w:r>
      <w:r w:rsidR="00186AB8">
        <w:rPr>
          <w:rFonts w:ascii="Times New Roman" w:hAnsi="Times New Roman" w:cs="Times New Roman"/>
          <w:sz w:val="28"/>
          <w:szCs w:val="28"/>
        </w:rPr>
        <w:t>)</w:t>
      </w:r>
      <w:r w:rsidR="000F58D6">
        <w:rPr>
          <w:rFonts w:ascii="Times New Roman" w:hAnsi="Times New Roman" w:cs="Times New Roman"/>
          <w:sz w:val="28"/>
          <w:szCs w:val="28"/>
        </w:rPr>
        <w:t xml:space="preserve">, </w:t>
      </w:r>
      <w:r w:rsidRPr="0040151F">
        <w:rPr>
          <w:rFonts w:ascii="Times New Roman" w:hAnsi="Times New Roman" w:cs="Times New Roman"/>
          <w:sz w:val="28"/>
          <w:szCs w:val="28"/>
        </w:rPr>
        <w:t xml:space="preserve">сокращение численности поголовья, </w:t>
      </w:r>
      <w:r w:rsidR="00186AB8">
        <w:rPr>
          <w:rFonts w:ascii="Times New Roman" w:hAnsi="Times New Roman" w:cs="Times New Roman"/>
          <w:sz w:val="28"/>
          <w:szCs w:val="28"/>
        </w:rPr>
        <w:t xml:space="preserve">рост цен на сырье и материалы, используемые в производстве, </w:t>
      </w:r>
      <w:r w:rsidRPr="0040151F">
        <w:rPr>
          <w:rFonts w:ascii="Times New Roman" w:hAnsi="Times New Roman" w:cs="Times New Roman"/>
          <w:sz w:val="28"/>
          <w:szCs w:val="28"/>
        </w:rPr>
        <w:t xml:space="preserve">колебания цен на произведенную продукцию. </w:t>
      </w:r>
    </w:p>
    <w:p w14:paraId="35D2F91D" w14:textId="707992B9" w:rsidR="00ED6137" w:rsidRPr="0040151F" w:rsidRDefault="00ED6137" w:rsidP="00401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При сохранении темпов поступления инвестиций и увеличении объемов государственной поддержки </w:t>
      </w:r>
      <w:r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производство продукции сельского хозяйства </w:t>
      </w:r>
      <w:r w:rsidR="00CB3703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A62999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B3703"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хозяйствах всех категорий ожидается в сумме </w:t>
      </w:r>
      <w:r w:rsidR="00186AB8">
        <w:rPr>
          <w:rFonts w:ascii="Times New Roman" w:eastAsia="Calibri" w:hAnsi="Times New Roman" w:cs="Times New Roman"/>
          <w:sz w:val="28"/>
          <w:szCs w:val="28"/>
          <w:lang w:eastAsia="en-US"/>
        </w:rPr>
        <w:t>15507,88</w:t>
      </w:r>
      <w:r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млн. рублей (в базовом варианте) при темпе роста </w:t>
      </w:r>
      <w:r w:rsidR="003C67B9">
        <w:rPr>
          <w:rFonts w:ascii="Times New Roman" w:eastAsia="Calibri" w:hAnsi="Times New Roman" w:cs="Times New Roman"/>
          <w:sz w:val="28"/>
          <w:szCs w:val="28"/>
          <w:lang w:eastAsia="en-US"/>
        </w:rPr>
        <w:t>115,09</w:t>
      </w:r>
      <w:r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>% (в действующих ценах) к 2023 году.</w:t>
      </w:r>
      <w:r w:rsidR="003C67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протяжении всего прогнозного периода </w:t>
      </w:r>
      <w:r w:rsidR="003C67B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структуре произведенной продукции сохранится преобладание растениеводческой продукции. </w:t>
      </w:r>
      <w:r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9ABA14D" w14:textId="77777777" w:rsidR="00ED6137" w:rsidRPr="0040151F" w:rsidRDefault="00ED6137" w:rsidP="00C53515">
      <w:pPr>
        <w:spacing w:after="0" w:line="240" w:lineRule="exact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48580A06" w14:textId="77777777" w:rsidR="00ED6137" w:rsidRPr="0040151F" w:rsidRDefault="00ED6137" w:rsidP="00C5351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51F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</w:p>
    <w:p w14:paraId="7485562D" w14:textId="22090930" w:rsidR="00ED6137" w:rsidRPr="0040151F" w:rsidRDefault="00ED6137" w:rsidP="00401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По виду экономической деятельности «строительство» </w:t>
      </w:r>
      <w:r w:rsidRPr="0040151F">
        <w:rPr>
          <w:rFonts w:ascii="Times New Roman" w:hAnsi="Times New Roman" w:cs="Times New Roman"/>
          <w:sz w:val="28"/>
          <w:szCs w:val="28"/>
        </w:rPr>
        <w:t xml:space="preserve">за </w:t>
      </w:r>
      <w:r w:rsidR="00186AB8">
        <w:rPr>
          <w:rFonts w:ascii="Times New Roman" w:hAnsi="Times New Roman" w:cs="Times New Roman"/>
          <w:sz w:val="28"/>
          <w:szCs w:val="28"/>
        </w:rPr>
        <w:t>8 месяцев</w:t>
      </w:r>
      <w:r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276572" w:rsidRPr="004015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178E" w:rsidRPr="0040151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6572" w:rsidRPr="0040151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выполнено работ на сумму </w:t>
      </w:r>
      <w:r w:rsidR="003C67B9">
        <w:rPr>
          <w:rFonts w:ascii="Times New Roman" w:eastAsia="Times New Roman" w:hAnsi="Times New Roman" w:cs="Times New Roman"/>
          <w:sz w:val="28"/>
          <w:szCs w:val="28"/>
        </w:rPr>
        <w:t>142,19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млн. рублей (в аналогичном периоде 202</w:t>
      </w:r>
      <w:r w:rsidR="00E53899" w:rsidRPr="004015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979E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53899" w:rsidRPr="00401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7B9">
        <w:rPr>
          <w:rFonts w:ascii="Times New Roman" w:eastAsia="Times New Roman" w:hAnsi="Times New Roman" w:cs="Times New Roman"/>
          <w:sz w:val="28"/>
          <w:szCs w:val="28"/>
        </w:rPr>
        <w:t>1115,53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млн. рублей)</w:t>
      </w:r>
      <w:r w:rsidR="00E53899" w:rsidRPr="0040151F">
        <w:rPr>
          <w:rFonts w:ascii="Times New Roman" w:eastAsia="Times New Roman" w:hAnsi="Times New Roman" w:cs="Times New Roman"/>
          <w:sz w:val="28"/>
          <w:szCs w:val="28"/>
        </w:rPr>
        <w:t>. Существенное снижение показателя связано с завершением строительства в январе 2023 года Берестовской ВЭС мощностью 60 МВ, на долю которой пришелся</w:t>
      </w:r>
      <w:r w:rsidR="0069667F" w:rsidRPr="0040151F">
        <w:rPr>
          <w:rFonts w:ascii="Times New Roman" w:eastAsia="Times New Roman" w:hAnsi="Times New Roman" w:cs="Times New Roman"/>
          <w:sz w:val="28"/>
          <w:szCs w:val="28"/>
        </w:rPr>
        <w:t xml:space="preserve"> основной объем работ </w:t>
      </w:r>
      <w:r w:rsidR="00327BF7" w:rsidRPr="004015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667F" w:rsidRPr="0040151F">
        <w:rPr>
          <w:rFonts w:ascii="Times New Roman" w:eastAsia="Times New Roman" w:hAnsi="Times New Roman" w:cs="Times New Roman"/>
          <w:sz w:val="28"/>
          <w:szCs w:val="28"/>
        </w:rPr>
        <w:t xml:space="preserve"> январ</w:t>
      </w:r>
      <w:r w:rsidR="00327BF7" w:rsidRPr="004015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3899" w:rsidRPr="0040151F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69667F" w:rsidRPr="0040151F">
        <w:rPr>
          <w:rFonts w:ascii="Times New Roman" w:eastAsia="Times New Roman" w:hAnsi="Times New Roman" w:cs="Times New Roman"/>
          <w:sz w:val="28"/>
          <w:szCs w:val="28"/>
        </w:rPr>
        <w:t xml:space="preserve"> – 566,11 млн. рублей</w:t>
      </w:r>
      <w:r w:rsidR="00E53899" w:rsidRPr="00401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47FFEC" w14:textId="307411D2" w:rsidR="00327BF7" w:rsidRPr="0040151F" w:rsidRDefault="00ED6137" w:rsidP="00401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За счет нового строительства, расширения и реконструкции в первом </w:t>
      </w:r>
      <w:r w:rsidR="00552565">
        <w:rPr>
          <w:rFonts w:ascii="Times New Roman" w:eastAsia="Times New Roman" w:hAnsi="Times New Roman" w:cs="Times New Roman"/>
          <w:sz w:val="28"/>
          <w:szCs w:val="28"/>
        </w:rPr>
        <w:t xml:space="preserve">полугодии 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>текущего года введены</w:t>
      </w:r>
      <w:r w:rsidR="0069667F" w:rsidRPr="0040151F">
        <w:rPr>
          <w:rFonts w:ascii="Times New Roman" w:eastAsia="Times New Roman" w:hAnsi="Times New Roman" w:cs="Times New Roman"/>
          <w:sz w:val="28"/>
          <w:szCs w:val="28"/>
        </w:rPr>
        <w:t xml:space="preserve"> в эксплуатацию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0,</w:t>
      </w:r>
      <w:r w:rsidR="00327BF7" w:rsidRPr="0040151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тыс. кв. м.</w:t>
      </w:r>
      <w:r w:rsidR="00552565" w:rsidRPr="00552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565" w:rsidRPr="0040151F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55256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552565" w:rsidRPr="0040151F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55256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120D" w:rsidRPr="00401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565">
        <w:rPr>
          <w:rFonts w:ascii="Times New Roman" w:eastAsia="Times New Roman" w:hAnsi="Times New Roman" w:cs="Times New Roman"/>
          <w:sz w:val="28"/>
          <w:szCs w:val="28"/>
        </w:rPr>
        <w:t>предприятия общественного питания на 20 посадочных мест, о</w:t>
      </w:r>
      <w:r w:rsidR="00327BF7" w:rsidRPr="0040151F">
        <w:rPr>
          <w:rFonts w:ascii="Times New Roman" w:eastAsia="Times New Roman" w:hAnsi="Times New Roman" w:cs="Times New Roman"/>
          <w:sz w:val="28"/>
          <w:szCs w:val="28"/>
        </w:rPr>
        <w:t>бще</w:t>
      </w:r>
      <w:r w:rsidR="008C556D">
        <w:rPr>
          <w:rFonts w:ascii="Times New Roman" w:eastAsia="Times New Roman" w:hAnsi="Times New Roman" w:cs="Times New Roman"/>
          <w:sz w:val="28"/>
          <w:szCs w:val="28"/>
        </w:rPr>
        <w:t>товарны</w:t>
      </w:r>
      <w:r w:rsidR="005525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27BF7" w:rsidRPr="0040151F">
        <w:rPr>
          <w:rFonts w:ascii="Times New Roman" w:eastAsia="Times New Roman" w:hAnsi="Times New Roman" w:cs="Times New Roman"/>
          <w:sz w:val="28"/>
          <w:szCs w:val="28"/>
        </w:rPr>
        <w:t xml:space="preserve"> склад</w:t>
      </w:r>
      <w:r w:rsidR="0055256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27BF7" w:rsidRPr="0040151F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552565">
        <w:rPr>
          <w:rFonts w:ascii="Times New Roman" w:eastAsia="Times New Roman" w:hAnsi="Times New Roman" w:cs="Times New Roman"/>
          <w:sz w:val="28"/>
          <w:szCs w:val="28"/>
        </w:rPr>
        <w:t>1,3</w:t>
      </w:r>
      <w:r w:rsidR="00327BF7" w:rsidRPr="0040151F">
        <w:rPr>
          <w:rFonts w:ascii="Times New Roman" w:eastAsia="Times New Roman" w:hAnsi="Times New Roman" w:cs="Times New Roman"/>
          <w:sz w:val="28"/>
          <w:szCs w:val="28"/>
        </w:rPr>
        <w:t xml:space="preserve"> тыс. кв. м., спортивный зал площадью 0,8 тыс. кв. м., плоско</w:t>
      </w:r>
      <w:r w:rsidR="008C556D">
        <w:rPr>
          <w:rFonts w:ascii="Times New Roman" w:eastAsia="Times New Roman" w:hAnsi="Times New Roman" w:cs="Times New Roman"/>
          <w:sz w:val="28"/>
          <w:szCs w:val="28"/>
        </w:rPr>
        <w:t>стное</w:t>
      </w:r>
      <w:r w:rsidR="00327BF7" w:rsidRPr="0040151F">
        <w:rPr>
          <w:rFonts w:ascii="Times New Roman" w:eastAsia="Times New Roman" w:hAnsi="Times New Roman" w:cs="Times New Roman"/>
          <w:sz w:val="28"/>
          <w:szCs w:val="28"/>
        </w:rPr>
        <w:t xml:space="preserve"> спортивное сооружение площадью 2,3 тыс. кв. м.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31D912" w14:textId="7346937D" w:rsidR="0069667F" w:rsidRPr="0040151F" w:rsidRDefault="00ED6137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eastAsia="Times New Roman" w:hAnsi="Times New Roman" w:cs="Times New Roman"/>
          <w:sz w:val="28"/>
          <w:szCs w:val="28"/>
        </w:rPr>
        <w:t>По итогам 202</w:t>
      </w:r>
      <w:r w:rsidR="004C389D" w:rsidRPr="004015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года объем работ, выполненных по виду деятельности «строительство»</w:t>
      </w:r>
      <w:r w:rsidR="008C55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в </w:t>
      </w:r>
      <w:r w:rsidR="00552565">
        <w:rPr>
          <w:rFonts w:ascii="Times New Roman" w:eastAsia="Times New Roman" w:hAnsi="Times New Roman" w:cs="Times New Roman"/>
          <w:sz w:val="28"/>
          <w:szCs w:val="28"/>
        </w:rPr>
        <w:t>195,0</w:t>
      </w:r>
      <w:r w:rsidR="003C67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2565">
        <w:rPr>
          <w:rFonts w:ascii="Times New Roman" w:eastAsia="Times New Roman" w:hAnsi="Times New Roman" w:cs="Times New Roman"/>
          <w:sz w:val="28"/>
          <w:szCs w:val="28"/>
        </w:rPr>
        <w:t xml:space="preserve"> млн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. рублей или </w:t>
      </w:r>
      <w:r w:rsidR="00552565">
        <w:rPr>
          <w:rFonts w:ascii="Times New Roman" w:eastAsia="Times New Roman" w:hAnsi="Times New Roman" w:cs="Times New Roman"/>
          <w:sz w:val="28"/>
          <w:szCs w:val="28"/>
        </w:rPr>
        <w:t>13,68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>% к 202</w:t>
      </w:r>
      <w:r w:rsidR="004C389D" w:rsidRPr="004015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году (</w:t>
      </w:r>
      <w:r w:rsidR="00552565" w:rsidRPr="0040151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>сопоставимых ценах</w:t>
      </w:r>
      <w:r w:rsidR="0069667F" w:rsidRPr="0040151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55256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69667F" w:rsidRPr="0040151F">
        <w:rPr>
          <w:rFonts w:ascii="Times New Roman" w:eastAsia="Times New Roman" w:hAnsi="Times New Roman" w:cs="Times New Roman"/>
          <w:sz w:val="28"/>
          <w:szCs w:val="28"/>
        </w:rPr>
        <w:t xml:space="preserve"> обусловлено</w:t>
      </w:r>
      <w:r w:rsidR="0069667F" w:rsidRPr="0040151F">
        <w:rPr>
          <w:rFonts w:ascii="Times New Roman" w:hAnsi="Times New Roman" w:cs="Times New Roman"/>
          <w:sz w:val="28"/>
          <w:szCs w:val="28"/>
        </w:rPr>
        <w:t xml:space="preserve"> завершением в </w:t>
      </w:r>
      <w:r w:rsidR="00552565">
        <w:rPr>
          <w:rFonts w:ascii="Times New Roman" w:hAnsi="Times New Roman" w:cs="Times New Roman"/>
          <w:sz w:val="28"/>
          <w:szCs w:val="28"/>
        </w:rPr>
        <w:t xml:space="preserve">2023 </w:t>
      </w:r>
      <w:r w:rsidR="0069667F" w:rsidRPr="0040151F">
        <w:rPr>
          <w:rFonts w:ascii="Times New Roman" w:hAnsi="Times New Roman" w:cs="Times New Roman"/>
          <w:sz w:val="28"/>
          <w:szCs w:val="28"/>
        </w:rPr>
        <w:t>году строительных работ на крупных инвестиционных проектах. По этой же причине существенного роста показателя</w:t>
      </w:r>
      <w:r w:rsidR="00CE114E">
        <w:rPr>
          <w:rFonts w:ascii="Times New Roman" w:hAnsi="Times New Roman" w:cs="Times New Roman"/>
          <w:sz w:val="28"/>
          <w:szCs w:val="28"/>
        </w:rPr>
        <w:t xml:space="preserve"> в среднесрочном периоде </w:t>
      </w:r>
      <w:r w:rsidR="0069667F" w:rsidRPr="0040151F">
        <w:rPr>
          <w:rFonts w:ascii="Times New Roman" w:hAnsi="Times New Roman" w:cs="Times New Roman"/>
          <w:sz w:val="28"/>
          <w:szCs w:val="28"/>
        </w:rPr>
        <w:t>не прогнозируется</w:t>
      </w:r>
      <w:r w:rsidR="00CE114E">
        <w:rPr>
          <w:rFonts w:ascii="Times New Roman" w:hAnsi="Times New Roman" w:cs="Times New Roman"/>
          <w:sz w:val="28"/>
          <w:szCs w:val="28"/>
        </w:rPr>
        <w:t>.</w:t>
      </w:r>
      <w:r w:rsidR="0069667F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CE114E">
        <w:rPr>
          <w:rFonts w:ascii="Times New Roman" w:hAnsi="Times New Roman" w:cs="Times New Roman"/>
          <w:sz w:val="28"/>
          <w:szCs w:val="28"/>
        </w:rPr>
        <w:t>В</w:t>
      </w:r>
      <w:r w:rsidR="00CC1047">
        <w:rPr>
          <w:rFonts w:ascii="Times New Roman" w:hAnsi="Times New Roman" w:cs="Times New Roman"/>
          <w:sz w:val="28"/>
          <w:szCs w:val="28"/>
        </w:rPr>
        <w:t xml:space="preserve"> базовом варианте </w:t>
      </w:r>
      <w:r w:rsidR="0069667F" w:rsidRPr="0040151F">
        <w:rPr>
          <w:rFonts w:ascii="Times New Roman" w:hAnsi="Times New Roman" w:cs="Times New Roman"/>
          <w:sz w:val="28"/>
          <w:szCs w:val="28"/>
        </w:rPr>
        <w:t>в 202</w:t>
      </w:r>
      <w:r w:rsidR="004C389D" w:rsidRPr="0040151F">
        <w:rPr>
          <w:rFonts w:ascii="Times New Roman" w:hAnsi="Times New Roman" w:cs="Times New Roman"/>
          <w:sz w:val="28"/>
          <w:szCs w:val="28"/>
        </w:rPr>
        <w:t>5</w:t>
      </w:r>
      <w:r w:rsidR="0069667F" w:rsidRPr="004015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E114E" w:rsidRPr="0040151F">
        <w:rPr>
          <w:rFonts w:ascii="Times New Roman" w:eastAsia="Times New Roman" w:hAnsi="Times New Roman" w:cs="Times New Roman"/>
          <w:sz w:val="28"/>
          <w:szCs w:val="28"/>
        </w:rPr>
        <w:t>объем работ, выполненных по виду деятельности «строительство»</w:t>
      </w:r>
      <w:r w:rsidR="00CE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67F" w:rsidRPr="0040151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552565">
        <w:rPr>
          <w:rFonts w:ascii="Times New Roman" w:hAnsi="Times New Roman" w:cs="Times New Roman"/>
          <w:sz w:val="28"/>
          <w:szCs w:val="28"/>
        </w:rPr>
        <w:t>203,39</w:t>
      </w:r>
      <w:r w:rsidR="0069667F" w:rsidRPr="0040151F">
        <w:rPr>
          <w:rFonts w:ascii="Times New Roman" w:hAnsi="Times New Roman" w:cs="Times New Roman"/>
          <w:sz w:val="28"/>
          <w:szCs w:val="28"/>
        </w:rPr>
        <w:t xml:space="preserve"> млн. рублей при темпе роста </w:t>
      </w:r>
      <w:r w:rsidR="00CC1047">
        <w:rPr>
          <w:rFonts w:ascii="Times New Roman" w:hAnsi="Times New Roman" w:cs="Times New Roman"/>
          <w:sz w:val="28"/>
          <w:szCs w:val="28"/>
        </w:rPr>
        <w:t>98,31</w:t>
      </w:r>
      <w:r w:rsidR="0069667F" w:rsidRPr="0040151F">
        <w:rPr>
          <w:rFonts w:ascii="Times New Roman" w:hAnsi="Times New Roman" w:cs="Times New Roman"/>
          <w:sz w:val="28"/>
          <w:szCs w:val="28"/>
        </w:rPr>
        <w:t xml:space="preserve">% </w:t>
      </w:r>
      <w:r w:rsidR="00CC1047" w:rsidRPr="0040151F">
        <w:rPr>
          <w:rFonts w:ascii="Times New Roman" w:hAnsi="Times New Roman" w:cs="Times New Roman"/>
          <w:sz w:val="28"/>
          <w:szCs w:val="28"/>
        </w:rPr>
        <w:t xml:space="preserve">к 2024 году </w:t>
      </w:r>
      <w:r w:rsidR="0069667F" w:rsidRPr="0040151F">
        <w:rPr>
          <w:rFonts w:ascii="Times New Roman" w:hAnsi="Times New Roman" w:cs="Times New Roman"/>
          <w:sz w:val="28"/>
          <w:szCs w:val="28"/>
        </w:rPr>
        <w:t>(в сопоставимых ценах), а в 202</w:t>
      </w:r>
      <w:r w:rsidR="004C389D" w:rsidRPr="0040151F">
        <w:rPr>
          <w:rFonts w:ascii="Times New Roman" w:hAnsi="Times New Roman" w:cs="Times New Roman"/>
          <w:sz w:val="28"/>
          <w:szCs w:val="28"/>
        </w:rPr>
        <w:t>7</w:t>
      </w:r>
      <w:r w:rsidR="0069667F" w:rsidRPr="0040151F">
        <w:rPr>
          <w:rFonts w:ascii="Times New Roman" w:hAnsi="Times New Roman" w:cs="Times New Roman"/>
          <w:sz w:val="28"/>
          <w:szCs w:val="28"/>
        </w:rPr>
        <w:t xml:space="preserve"> году увеличится до </w:t>
      </w:r>
      <w:r w:rsidR="00CC1047">
        <w:rPr>
          <w:rFonts w:ascii="Times New Roman" w:hAnsi="Times New Roman" w:cs="Times New Roman"/>
          <w:sz w:val="28"/>
          <w:szCs w:val="28"/>
        </w:rPr>
        <w:t>218,89</w:t>
      </w:r>
      <w:r w:rsidR="0069667F" w:rsidRPr="0040151F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4E618DA9" w14:textId="36D250FF" w:rsidR="00ED6137" w:rsidRPr="0040151F" w:rsidRDefault="00CC1047" w:rsidP="00401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 за счет ИЖС введено 11,21 тыс. кв. м.</w:t>
      </w:r>
      <w:r w:rsidR="006773C3">
        <w:rPr>
          <w:rFonts w:ascii="Times New Roman" w:hAnsi="Times New Roman" w:cs="Times New Roman"/>
          <w:sz w:val="28"/>
          <w:szCs w:val="28"/>
        </w:rPr>
        <w:t xml:space="preserve"> жилых домов. 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Ожидается, что по итогам текущего года объем ИЖС составит </w:t>
      </w:r>
      <w:r>
        <w:rPr>
          <w:rFonts w:ascii="Times New Roman" w:hAnsi="Times New Roman" w:cs="Times New Roman"/>
          <w:sz w:val="28"/>
          <w:szCs w:val="28"/>
        </w:rPr>
        <w:t>11,8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тыс. кв.</w:t>
      </w:r>
      <w:r w:rsidR="006773C3">
        <w:rPr>
          <w:rFonts w:ascii="Times New Roman" w:hAnsi="Times New Roman" w:cs="Times New Roman"/>
          <w:sz w:val="28"/>
          <w:szCs w:val="28"/>
        </w:rPr>
        <w:t xml:space="preserve"> </w:t>
      </w:r>
      <w:r w:rsidR="00ED6137" w:rsidRPr="0040151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в округе не ведется строительство многоквартирных жилых домов, а также в связи с ростом цен на строительные и отделочные материалы в прогноз</w:t>
      </w:r>
      <w:r w:rsidR="003C67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ом периоде </w:t>
      </w:r>
      <w:r w:rsidR="006773C3">
        <w:rPr>
          <w:rFonts w:ascii="Times New Roman" w:hAnsi="Times New Roman" w:cs="Times New Roman"/>
          <w:sz w:val="28"/>
          <w:szCs w:val="28"/>
        </w:rPr>
        <w:t xml:space="preserve">увеличения </w:t>
      </w:r>
      <w:r>
        <w:rPr>
          <w:rFonts w:ascii="Times New Roman" w:hAnsi="Times New Roman" w:cs="Times New Roman"/>
          <w:sz w:val="28"/>
          <w:szCs w:val="28"/>
        </w:rPr>
        <w:t>показателя не ожидаетс</w:t>
      </w:r>
      <w:r w:rsidR="00CC182A">
        <w:rPr>
          <w:rFonts w:ascii="Times New Roman" w:hAnsi="Times New Roman" w:cs="Times New Roman"/>
          <w:sz w:val="28"/>
          <w:szCs w:val="28"/>
        </w:rPr>
        <w:t>я, е</w:t>
      </w:r>
      <w:r w:rsidR="006773C3">
        <w:rPr>
          <w:rFonts w:ascii="Times New Roman" w:hAnsi="Times New Roman" w:cs="Times New Roman"/>
          <w:sz w:val="28"/>
          <w:szCs w:val="28"/>
        </w:rPr>
        <w:t>жегодный о</w:t>
      </w:r>
      <w:r>
        <w:rPr>
          <w:rFonts w:ascii="Times New Roman" w:hAnsi="Times New Roman" w:cs="Times New Roman"/>
          <w:sz w:val="28"/>
          <w:szCs w:val="28"/>
        </w:rPr>
        <w:t xml:space="preserve">бъем жилищного строительства 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в базовом варианте </w:t>
      </w:r>
      <w:r>
        <w:rPr>
          <w:rFonts w:ascii="Times New Roman" w:hAnsi="Times New Roman" w:cs="Times New Roman"/>
          <w:sz w:val="28"/>
          <w:szCs w:val="28"/>
        </w:rPr>
        <w:t>не будет превышать 9</w:t>
      </w:r>
      <w:r w:rsidR="00677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 тыс. кв.</w:t>
      </w:r>
      <w:r w:rsidR="00677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46BA2" w14:textId="77777777" w:rsidR="008C556D" w:rsidRPr="0040151F" w:rsidRDefault="008C556D" w:rsidP="00C535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21D428" w14:textId="77777777" w:rsidR="00ED6137" w:rsidRPr="0040151F" w:rsidRDefault="00ED6137" w:rsidP="00C5351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51F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Торговля и услуги населению</w:t>
      </w:r>
    </w:p>
    <w:p w14:paraId="23A37E01" w14:textId="0159014A" w:rsidR="006773C3" w:rsidRDefault="006773C3" w:rsidP="00576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бъем розничного товарооборота предприятий, не относящихся к субъектам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D6137" w:rsidRPr="0040151F">
        <w:rPr>
          <w:rFonts w:ascii="Times New Roman" w:hAnsi="Times New Roman" w:cs="Times New Roman"/>
          <w:sz w:val="28"/>
          <w:szCs w:val="28"/>
        </w:rPr>
        <w:t>202</w:t>
      </w:r>
      <w:r w:rsidR="00DA26C2" w:rsidRPr="0040151F">
        <w:rPr>
          <w:rFonts w:ascii="Times New Roman" w:hAnsi="Times New Roman" w:cs="Times New Roman"/>
          <w:sz w:val="28"/>
          <w:szCs w:val="28"/>
        </w:rPr>
        <w:t>4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оценивается в </w:t>
      </w:r>
      <w:r w:rsidR="00576B5E" w:rsidRPr="00576B5E">
        <w:rPr>
          <w:rFonts w:ascii="Times New Roman" w:hAnsi="Times New Roman" w:cs="Times New Roman"/>
          <w:sz w:val="28"/>
          <w:szCs w:val="28"/>
        </w:rPr>
        <w:t>3963</w:t>
      </w:r>
      <w:r w:rsidR="00576B5E">
        <w:rPr>
          <w:rFonts w:ascii="Times New Roman" w:hAnsi="Times New Roman" w:cs="Times New Roman"/>
          <w:sz w:val="28"/>
          <w:szCs w:val="28"/>
        </w:rPr>
        <w:t>,</w:t>
      </w:r>
      <w:r w:rsidR="00576B5E" w:rsidRPr="00576B5E">
        <w:rPr>
          <w:rFonts w:ascii="Times New Roman" w:hAnsi="Times New Roman" w:cs="Times New Roman"/>
          <w:sz w:val="28"/>
          <w:szCs w:val="28"/>
        </w:rPr>
        <w:t xml:space="preserve">47 </w:t>
      </w:r>
      <w:r w:rsidR="00576B5E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="00576B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сопоставимых ценах на </w:t>
      </w:r>
      <w:r w:rsidR="00576B5E">
        <w:rPr>
          <w:rFonts w:ascii="Times New Roman" w:hAnsi="Times New Roman" w:cs="Times New Roman"/>
          <w:sz w:val="28"/>
          <w:szCs w:val="28"/>
        </w:rPr>
        <w:t>20,83</w:t>
      </w:r>
      <w:r>
        <w:rPr>
          <w:rFonts w:ascii="Times New Roman" w:hAnsi="Times New Roman" w:cs="Times New Roman"/>
          <w:sz w:val="28"/>
          <w:szCs w:val="28"/>
        </w:rPr>
        <w:t>%</w:t>
      </w:r>
      <w:r w:rsidR="00276572" w:rsidRPr="0040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превысит значение</w:t>
      </w:r>
      <w:r w:rsidR="00276572" w:rsidRPr="0040151F">
        <w:rPr>
          <w:rFonts w:ascii="Times New Roman" w:hAnsi="Times New Roman" w:cs="Times New Roman"/>
          <w:sz w:val="28"/>
          <w:szCs w:val="28"/>
        </w:rPr>
        <w:t xml:space="preserve"> 202</w:t>
      </w:r>
      <w:r w:rsidR="00DA26C2" w:rsidRPr="0040151F">
        <w:rPr>
          <w:rFonts w:ascii="Times New Roman" w:hAnsi="Times New Roman" w:cs="Times New Roman"/>
          <w:sz w:val="28"/>
          <w:szCs w:val="28"/>
        </w:rPr>
        <w:t>3</w:t>
      </w:r>
      <w:r w:rsidR="00276572" w:rsidRPr="004015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2599">
        <w:rPr>
          <w:rFonts w:ascii="Times New Roman" w:hAnsi="Times New Roman" w:cs="Times New Roman"/>
          <w:sz w:val="28"/>
          <w:szCs w:val="28"/>
        </w:rPr>
        <w:t>.</w:t>
      </w:r>
    </w:p>
    <w:p w14:paraId="3AD4E61D" w14:textId="4C61D19F" w:rsidR="00ED6137" w:rsidRPr="00576B5E" w:rsidRDefault="00ED6137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0D">
        <w:rPr>
          <w:rFonts w:ascii="Times New Roman" w:hAnsi="Times New Roman" w:cs="Times New Roman"/>
          <w:sz w:val="28"/>
          <w:szCs w:val="28"/>
        </w:rPr>
        <w:t xml:space="preserve">В </w:t>
      </w:r>
      <w:r w:rsidR="003C67B9">
        <w:rPr>
          <w:rFonts w:ascii="Times New Roman" w:hAnsi="Times New Roman" w:cs="Times New Roman"/>
          <w:sz w:val="28"/>
          <w:szCs w:val="28"/>
        </w:rPr>
        <w:t>среднесрочной перспективе</w:t>
      </w:r>
      <w:r w:rsidRPr="00352D0D">
        <w:rPr>
          <w:rFonts w:ascii="Times New Roman" w:hAnsi="Times New Roman" w:cs="Times New Roman"/>
          <w:sz w:val="28"/>
          <w:szCs w:val="28"/>
        </w:rPr>
        <w:t xml:space="preserve"> сохранится положительная динамика, </w:t>
      </w:r>
      <w:r w:rsidR="00CE114E" w:rsidRPr="00352D0D">
        <w:rPr>
          <w:rFonts w:ascii="Times New Roman" w:hAnsi="Times New Roman" w:cs="Times New Roman"/>
          <w:sz w:val="28"/>
          <w:szCs w:val="28"/>
        </w:rPr>
        <w:t>базов</w:t>
      </w:r>
      <w:r w:rsidR="006444D8">
        <w:rPr>
          <w:rFonts w:ascii="Times New Roman" w:hAnsi="Times New Roman" w:cs="Times New Roman"/>
          <w:sz w:val="28"/>
          <w:szCs w:val="28"/>
        </w:rPr>
        <w:t xml:space="preserve">ый </w:t>
      </w:r>
      <w:r w:rsidR="00CE114E" w:rsidRPr="00352D0D">
        <w:rPr>
          <w:rFonts w:ascii="Times New Roman" w:hAnsi="Times New Roman" w:cs="Times New Roman"/>
          <w:sz w:val="28"/>
          <w:szCs w:val="28"/>
        </w:rPr>
        <w:t>вариант</w:t>
      </w:r>
      <w:r w:rsidR="006444D8">
        <w:rPr>
          <w:rFonts w:ascii="Times New Roman" w:hAnsi="Times New Roman" w:cs="Times New Roman"/>
          <w:sz w:val="28"/>
          <w:szCs w:val="28"/>
        </w:rPr>
        <w:t xml:space="preserve"> прогноза предполагает, что</w:t>
      </w:r>
      <w:r w:rsidR="00CE114E" w:rsidRPr="00352D0D">
        <w:rPr>
          <w:rFonts w:ascii="Times New Roman" w:hAnsi="Times New Roman" w:cs="Times New Roman"/>
          <w:sz w:val="28"/>
          <w:szCs w:val="28"/>
        </w:rPr>
        <w:t xml:space="preserve"> </w:t>
      </w:r>
      <w:r w:rsidR="00747C81" w:rsidRPr="00352D0D">
        <w:rPr>
          <w:rFonts w:ascii="Times New Roman" w:hAnsi="Times New Roman" w:cs="Times New Roman"/>
          <w:sz w:val="28"/>
          <w:szCs w:val="28"/>
        </w:rPr>
        <w:t>в 202</w:t>
      </w:r>
      <w:r w:rsidR="00D47DAD" w:rsidRPr="00352D0D">
        <w:rPr>
          <w:rFonts w:ascii="Times New Roman" w:hAnsi="Times New Roman" w:cs="Times New Roman"/>
          <w:sz w:val="28"/>
          <w:szCs w:val="28"/>
        </w:rPr>
        <w:t>5</w:t>
      </w:r>
      <w:r w:rsidR="00747C81" w:rsidRPr="00352D0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52D0D">
        <w:rPr>
          <w:rFonts w:ascii="Times New Roman" w:hAnsi="Times New Roman" w:cs="Times New Roman"/>
          <w:sz w:val="28"/>
          <w:szCs w:val="28"/>
        </w:rPr>
        <w:t xml:space="preserve">в объем розничного товарооборота увеличится до </w:t>
      </w:r>
      <w:r w:rsidR="006444D8">
        <w:rPr>
          <w:rFonts w:ascii="Times New Roman" w:hAnsi="Times New Roman" w:cs="Times New Roman"/>
          <w:sz w:val="28"/>
          <w:szCs w:val="28"/>
        </w:rPr>
        <w:t>4954,33</w:t>
      </w:r>
      <w:r w:rsidRPr="00352D0D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576B5E" w:rsidRPr="00352D0D">
        <w:rPr>
          <w:rFonts w:ascii="Times New Roman" w:hAnsi="Times New Roman" w:cs="Times New Roman"/>
          <w:sz w:val="28"/>
          <w:szCs w:val="28"/>
        </w:rPr>
        <w:t xml:space="preserve">при темпе роста </w:t>
      </w:r>
      <w:r w:rsidR="006444D8">
        <w:rPr>
          <w:rFonts w:ascii="Times New Roman" w:hAnsi="Times New Roman" w:cs="Times New Roman"/>
          <w:sz w:val="28"/>
          <w:szCs w:val="28"/>
        </w:rPr>
        <w:t>118,48</w:t>
      </w:r>
      <w:r w:rsidR="00576B5E" w:rsidRPr="00352D0D">
        <w:rPr>
          <w:rFonts w:ascii="Times New Roman" w:hAnsi="Times New Roman" w:cs="Times New Roman"/>
          <w:sz w:val="28"/>
          <w:szCs w:val="28"/>
        </w:rPr>
        <w:t>%</w:t>
      </w:r>
      <w:r w:rsidRPr="00352D0D">
        <w:rPr>
          <w:rFonts w:ascii="Times New Roman" w:hAnsi="Times New Roman" w:cs="Times New Roman"/>
          <w:sz w:val="28"/>
          <w:szCs w:val="28"/>
        </w:rPr>
        <w:t xml:space="preserve"> к 202</w:t>
      </w:r>
      <w:r w:rsidR="00BC507E" w:rsidRPr="00352D0D">
        <w:rPr>
          <w:rFonts w:ascii="Times New Roman" w:hAnsi="Times New Roman" w:cs="Times New Roman"/>
          <w:sz w:val="28"/>
          <w:szCs w:val="28"/>
        </w:rPr>
        <w:t>4</w:t>
      </w:r>
      <w:r w:rsidRPr="00352D0D">
        <w:rPr>
          <w:rFonts w:ascii="Times New Roman" w:hAnsi="Times New Roman" w:cs="Times New Roman"/>
          <w:sz w:val="28"/>
          <w:szCs w:val="28"/>
        </w:rPr>
        <w:t xml:space="preserve"> году (в действующих ценах), а к 202</w:t>
      </w:r>
      <w:r w:rsidR="00BC507E" w:rsidRPr="00352D0D">
        <w:rPr>
          <w:rFonts w:ascii="Times New Roman" w:hAnsi="Times New Roman" w:cs="Times New Roman"/>
          <w:sz w:val="28"/>
          <w:szCs w:val="28"/>
        </w:rPr>
        <w:t>7</w:t>
      </w:r>
      <w:r w:rsidRPr="00352D0D">
        <w:rPr>
          <w:rFonts w:ascii="Times New Roman" w:hAnsi="Times New Roman" w:cs="Times New Roman"/>
          <w:sz w:val="28"/>
          <w:szCs w:val="28"/>
        </w:rPr>
        <w:t xml:space="preserve"> году достигнет </w:t>
      </w:r>
      <w:r w:rsidR="006444D8">
        <w:rPr>
          <w:rFonts w:ascii="Times New Roman" w:hAnsi="Times New Roman" w:cs="Times New Roman"/>
          <w:sz w:val="28"/>
          <w:szCs w:val="28"/>
        </w:rPr>
        <w:t>5598,20</w:t>
      </w:r>
      <w:r w:rsidRPr="00352D0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A4617B" w:rsidRPr="00352D0D">
        <w:rPr>
          <w:rFonts w:ascii="Times New Roman" w:hAnsi="Times New Roman" w:cs="Times New Roman"/>
          <w:sz w:val="28"/>
          <w:szCs w:val="28"/>
        </w:rPr>
        <w:t xml:space="preserve">, что </w:t>
      </w:r>
      <w:r w:rsidR="00CF2E7E" w:rsidRPr="00352D0D">
        <w:rPr>
          <w:rFonts w:ascii="Times New Roman" w:hAnsi="Times New Roman" w:cs="Times New Roman"/>
          <w:sz w:val="28"/>
          <w:szCs w:val="28"/>
        </w:rPr>
        <w:t xml:space="preserve">в действующих ценах в </w:t>
      </w:r>
      <w:r w:rsidR="006444D8">
        <w:rPr>
          <w:rFonts w:ascii="Times New Roman" w:hAnsi="Times New Roman" w:cs="Times New Roman"/>
          <w:sz w:val="28"/>
          <w:szCs w:val="28"/>
        </w:rPr>
        <w:t>1,8</w:t>
      </w:r>
      <w:r w:rsidR="00A4617B" w:rsidRPr="00352D0D">
        <w:rPr>
          <w:rFonts w:ascii="Times New Roman" w:hAnsi="Times New Roman" w:cs="Times New Roman"/>
          <w:sz w:val="28"/>
          <w:szCs w:val="28"/>
        </w:rPr>
        <w:t xml:space="preserve"> раза превысит </w:t>
      </w:r>
      <w:r w:rsidR="00CF2E7E" w:rsidRPr="00352D0D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352D0D">
        <w:rPr>
          <w:rFonts w:ascii="Times New Roman" w:hAnsi="Times New Roman" w:cs="Times New Roman"/>
          <w:sz w:val="28"/>
          <w:szCs w:val="28"/>
        </w:rPr>
        <w:t>202</w:t>
      </w:r>
      <w:r w:rsidR="00BC507E" w:rsidRPr="00352D0D">
        <w:rPr>
          <w:rFonts w:ascii="Times New Roman" w:hAnsi="Times New Roman" w:cs="Times New Roman"/>
          <w:sz w:val="28"/>
          <w:szCs w:val="28"/>
        </w:rPr>
        <w:t>3</w:t>
      </w:r>
      <w:r w:rsidRPr="00352D0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F2E7E">
        <w:rPr>
          <w:rFonts w:ascii="Times New Roman" w:hAnsi="Times New Roman" w:cs="Times New Roman"/>
          <w:sz w:val="28"/>
          <w:szCs w:val="28"/>
        </w:rPr>
        <w:t xml:space="preserve"> Основными факторами, которые будут оказывать влияние на показатель в прогноз</w:t>
      </w:r>
      <w:r w:rsidR="00C53515">
        <w:rPr>
          <w:rFonts w:ascii="Times New Roman" w:hAnsi="Times New Roman" w:cs="Times New Roman"/>
          <w:sz w:val="28"/>
          <w:szCs w:val="28"/>
        </w:rPr>
        <w:t>н</w:t>
      </w:r>
      <w:r w:rsidR="00CF2E7E">
        <w:rPr>
          <w:rFonts w:ascii="Times New Roman" w:hAnsi="Times New Roman" w:cs="Times New Roman"/>
          <w:sz w:val="28"/>
          <w:szCs w:val="28"/>
        </w:rPr>
        <w:t>ом периоде остаются инфляция на основные потребительские товары, а также увеличение на территории округа числа магазинов крупных сетевых компаний.</w:t>
      </w:r>
    </w:p>
    <w:p w14:paraId="148CA960" w14:textId="7BD19990" w:rsidR="00ED6137" w:rsidRPr="0040151F" w:rsidRDefault="00CF2E7E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тарифов на услуги ЖКХ в июле </w:t>
      </w:r>
      <w:r w:rsidR="00352D0D">
        <w:rPr>
          <w:rFonts w:ascii="Times New Roman" w:hAnsi="Times New Roman" w:cs="Times New Roman"/>
          <w:sz w:val="28"/>
          <w:szCs w:val="28"/>
        </w:rPr>
        <w:t>отчетного</w:t>
      </w:r>
      <w:r>
        <w:rPr>
          <w:rFonts w:ascii="Times New Roman" w:hAnsi="Times New Roman" w:cs="Times New Roman"/>
          <w:sz w:val="28"/>
          <w:szCs w:val="28"/>
        </w:rPr>
        <w:t xml:space="preserve"> года, также </w:t>
      </w:r>
      <w:r w:rsidR="006444D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плановое повышение в 2025 году</w:t>
      </w:r>
      <w:r w:rsidR="006444D8">
        <w:rPr>
          <w:rFonts w:ascii="Times New Roman" w:hAnsi="Times New Roman" w:cs="Times New Roman"/>
          <w:sz w:val="28"/>
          <w:szCs w:val="28"/>
        </w:rPr>
        <w:t xml:space="preserve"> - </w:t>
      </w:r>
      <w:r w:rsidR="00352D0D">
        <w:rPr>
          <w:rFonts w:ascii="Times New Roman" w:hAnsi="Times New Roman" w:cs="Times New Roman"/>
          <w:sz w:val="28"/>
          <w:szCs w:val="28"/>
        </w:rPr>
        <w:t xml:space="preserve">основные условия роста объема платных услуг населению. 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Ожидается, что объем платных услуг, оказанных населению предприятиями, не относящимися к субъектам малого и среднего предпринимательства, по итогам </w:t>
      </w:r>
      <w:r w:rsidR="00352D0D">
        <w:rPr>
          <w:rFonts w:ascii="Times New Roman" w:hAnsi="Times New Roman" w:cs="Times New Roman"/>
          <w:sz w:val="28"/>
          <w:szCs w:val="28"/>
        </w:rPr>
        <w:t>2024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BC507E" w:rsidRPr="0040151F">
        <w:rPr>
          <w:rFonts w:ascii="Times New Roman" w:hAnsi="Times New Roman" w:cs="Times New Roman"/>
          <w:sz w:val="28"/>
          <w:szCs w:val="28"/>
        </w:rPr>
        <w:t>14</w:t>
      </w:r>
      <w:r w:rsidR="00352D0D">
        <w:rPr>
          <w:rFonts w:ascii="Times New Roman" w:hAnsi="Times New Roman" w:cs="Times New Roman"/>
          <w:sz w:val="28"/>
          <w:szCs w:val="28"/>
        </w:rPr>
        <w:t xml:space="preserve">62,13 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352D0D">
        <w:rPr>
          <w:rFonts w:ascii="Times New Roman" w:hAnsi="Times New Roman" w:cs="Times New Roman"/>
          <w:sz w:val="28"/>
          <w:szCs w:val="28"/>
        </w:rPr>
        <w:t>105,0</w:t>
      </w:r>
      <w:r w:rsidR="00ED6137" w:rsidRPr="0040151F">
        <w:rPr>
          <w:rFonts w:ascii="Times New Roman" w:hAnsi="Times New Roman" w:cs="Times New Roman"/>
          <w:sz w:val="28"/>
          <w:szCs w:val="28"/>
        </w:rPr>
        <w:t>% к значению 202</w:t>
      </w:r>
      <w:r w:rsidR="00BC507E" w:rsidRPr="0040151F">
        <w:rPr>
          <w:rFonts w:ascii="Times New Roman" w:hAnsi="Times New Roman" w:cs="Times New Roman"/>
          <w:sz w:val="28"/>
          <w:szCs w:val="28"/>
        </w:rPr>
        <w:t>3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2D0D">
        <w:rPr>
          <w:rFonts w:ascii="Times New Roman" w:hAnsi="Times New Roman" w:cs="Times New Roman"/>
          <w:sz w:val="28"/>
          <w:szCs w:val="28"/>
        </w:rPr>
        <w:t xml:space="preserve"> </w:t>
      </w:r>
      <w:r w:rsidR="00352D0D" w:rsidRPr="0040151F">
        <w:rPr>
          <w:rFonts w:ascii="Times New Roman" w:hAnsi="Times New Roman" w:cs="Times New Roman"/>
          <w:sz w:val="28"/>
          <w:szCs w:val="28"/>
        </w:rPr>
        <w:t xml:space="preserve">(в </w:t>
      </w:r>
      <w:r w:rsidR="00352D0D">
        <w:rPr>
          <w:rFonts w:ascii="Times New Roman" w:hAnsi="Times New Roman" w:cs="Times New Roman"/>
          <w:sz w:val="28"/>
          <w:szCs w:val="28"/>
        </w:rPr>
        <w:t>действующих</w:t>
      </w:r>
      <w:r w:rsidR="00352D0D" w:rsidRPr="0040151F">
        <w:rPr>
          <w:rFonts w:ascii="Times New Roman" w:hAnsi="Times New Roman" w:cs="Times New Roman"/>
          <w:sz w:val="28"/>
          <w:szCs w:val="28"/>
        </w:rPr>
        <w:t xml:space="preserve"> ценах)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. </w:t>
      </w:r>
      <w:r w:rsidR="00352D0D">
        <w:rPr>
          <w:rFonts w:ascii="Times New Roman" w:eastAsia="Lucida Sans Unicode" w:hAnsi="Times New Roman" w:cs="Times New Roman"/>
          <w:sz w:val="28"/>
          <w:szCs w:val="28"/>
        </w:rPr>
        <w:t>В базовом варианте прогноза объем</w:t>
      </w:r>
      <w:r w:rsidR="00352D0D"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352D0D">
        <w:rPr>
          <w:rFonts w:ascii="Times New Roman" w:eastAsia="Lucida Sans Unicode" w:hAnsi="Times New Roman" w:cs="Times New Roman"/>
          <w:sz w:val="28"/>
          <w:szCs w:val="28"/>
        </w:rPr>
        <w:t xml:space="preserve">платных </w:t>
      </w:r>
      <w:r w:rsidR="00352D0D" w:rsidRPr="0040151F">
        <w:rPr>
          <w:rFonts w:ascii="Times New Roman" w:eastAsia="Lucida Sans Unicode" w:hAnsi="Times New Roman" w:cs="Times New Roman"/>
          <w:sz w:val="28"/>
          <w:szCs w:val="28"/>
        </w:rPr>
        <w:t>услуг населению</w:t>
      </w:r>
      <w:r w:rsidR="00352D0D">
        <w:rPr>
          <w:rFonts w:ascii="Times New Roman" w:eastAsia="Lucida Sans Unicode" w:hAnsi="Times New Roman" w:cs="Times New Roman"/>
          <w:sz w:val="28"/>
          <w:szCs w:val="28"/>
        </w:rPr>
        <w:t xml:space="preserve"> в 2025 году увеличится до </w:t>
      </w:r>
      <w:r w:rsidR="006444D8">
        <w:rPr>
          <w:rFonts w:ascii="Times New Roman" w:eastAsia="Lucida Sans Unicode" w:hAnsi="Times New Roman" w:cs="Times New Roman"/>
          <w:sz w:val="28"/>
          <w:szCs w:val="28"/>
        </w:rPr>
        <w:t>1583,48</w:t>
      </w:r>
      <w:r w:rsidR="00352D0D">
        <w:rPr>
          <w:rFonts w:ascii="Times New Roman" w:eastAsia="Lucida Sans Unicode" w:hAnsi="Times New Roman" w:cs="Times New Roman"/>
          <w:sz w:val="28"/>
          <w:szCs w:val="28"/>
        </w:rPr>
        <w:t xml:space="preserve"> млн. рублей при темпе роста </w:t>
      </w:r>
      <w:r w:rsidR="006444D8">
        <w:rPr>
          <w:rFonts w:ascii="Times New Roman" w:eastAsia="Lucida Sans Unicode" w:hAnsi="Times New Roman" w:cs="Times New Roman"/>
          <w:sz w:val="28"/>
          <w:szCs w:val="28"/>
        </w:rPr>
        <w:t>100,37</w:t>
      </w:r>
      <w:r w:rsidR="00FF267C">
        <w:rPr>
          <w:rFonts w:ascii="Times New Roman" w:eastAsia="Lucida Sans Unicode" w:hAnsi="Times New Roman" w:cs="Times New Roman"/>
          <w:sz w:val="28"/>
          <w:szCs w:val="28"/>
        </w:rPr>
        <w:t>% к значению 2024 года (</w:t>
      </w:r>
      <w:r w:rsidR="00FF267C" w:rsidRPr="0040151F">
        <w:rPr>
          <w:rFonts w:ascii="Times New Roman" w:hAnsi="Times New Roman" w:cs="Times New Roman"/>
          <w:sz w:val="28"/>
          <w:szCs w:val="28"/>
        </w:rPr>
        <w:t xml:space="preserve">в </w:t>
      </w:r>
      <w:r w:rsidR="00C53515">
        <w:rPr>
          <w:rFonts w:ascii="Times New Roman" w:hAnsi="Times New Roman" w:cs="Times New Roman"/>
          <w:sz w:val="28"/>
          <w:szCs w:val="28"/>
        </w:rPr>
        <w:t xml:space="preserve">сопоставимых </w:t>
      </w:r>
      <w:r w:rsidR="00FF267C" w:rsidRPr="0040151F">
        <w:rPr>
          <w:rFonts w:ascii="Times New Roman" w:hAnsi="Times New Roman" w:cs="Times New Roman"/>
          <w:sz w:val="28"/>
          <w:szCs w:val="28"/>
        </w:rPr>
        <w:t>ценах</w:t>
      </w:r>
      <w:r w:rsidR="00FF267C">
        <w:rPr>
          <w:rFonts w:ascii="Times New Roman" w:eastAsia="Lucida Sans Unicode" w:hAnsi="Times New Roman" w:cs="Times New Roman"/>
          <w:sz w:val="28"/>
          <w:szCs w:val="28"/>
        </w:rPr>
        <w:t>), в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202</w:t>
      </w:r>
      <w:r w:rsidR="00BC507E" w:rsidRPr="0040151F">
        <w:rPr>
          <w:rFonts w:ascii="Times New Roman" w:hAnsi="Times New Roman" w:cs="Times New Roman"/>
          <w:sz w:val="28"/>
          <w:szCs w:val="28"/>
        </w:rPr>
        <w:t>7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году этот показатель до</w:t>
      </w:r>
      <w:r w:rsidR="003C67B9">
        <w:rPr>
          <w:rFonts w:ascii="Times New Roman" w:hAnsi="Times New Roman" w:cs="Times New Roman"/>
          <w:sz w:val="28"/>
          <w:szCs w:val="28"/>
        </w:rPr>
        <w:t>стигнет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6444D8">
        <w:rPr>
          <w:rFonts w:ascii="Times New Roman" w:hAnsi="Times New Roman" w:cs="Times New Roman"/>
          <w:sz w:val="28"/>
          <w:szCs w:val="28"/>
        </w:rPr>
        <w:t>1704,33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734A7C3F" w14:textId="77777777" w:rsidR="00ED6137" w:rsidRPr="0040151F" w:rsidRDefault="00ED6137" w:rsidP="00C53515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8D7BD2" w14:textId="77777777" w:rsidR="00ED6137" w:rsidRPr="0040151F" w:rsidRDefault="00ED6137" w:rsidP="00C5351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51F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Малое и среднее предпринимательство. </w:t>
      </w:r>
    </w:p>
    <w:p w14:paraId="49076D36" w14:textId="32171CF2" w:rsidR="00FF267C" w:rsidRDefault="00FF267C" w:rsidP="00FA7114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В </w:t>
      </w:r>
      <w:r w:rsidRPr="00FF267C">
        <w:rPr>
          <w:rFonts w:ascii="Times New Roman" w:eastAsia="Lucida Sans Unicode" w:hAnsi="Times New Roman" w:cs="Times New Roman"/>
          <w:sz w:val="28"/>
          <w:szCs w:val="28"/>
        </w:rPr>
        <w:t>едино</w:t>
      </w:r>
      <w:r>
        <w:rPr>
          <w:rFonts w:ascii="Times New Roman" w:eastAsia="Lucida Sans Unicode" w:hAnsi="Times New Roman" w:cs="Times New Roman"/>
          <w:sz w:val="28"/>
          <w:szCs w:val="28"/>
        </w:rPr>
        <w:t>м</w:t>
      </w:r>
      <w:r w:rsidRPr="00FF267C">
        <w:rPr>
          <w:rFonts w:ascii="Times New Roman" w:eastAsia="Lucida Sans Unicode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Lucida Sans Unicode" w:hAnsi="Times New Roman" w:cs="Times New Roman"/>
          <w:sz w:val="28"/>
          <w:szCs w:val="28"/>
        </w:rPr>
        <w:t>е</w:t>
      </w:r>
      <w:r w:rsidRPr="00FF267C">
        <w:rPr>
          <w:rFonts w:ascii="Times New Roman" w:eastAsia="Lucida Sans Unicode" w:hAnsi="Times New Roman" w:cs="Times New Roman"/>
          <w:sz w:val="28"/>
          <w:szCs w:val="28"/>
        </w:rPr>
        <w:t xml:space="preserve"> субъектов малого и среднего предпринимательства Федеральной налоговой служб</w:t>
      </w:r>
      <w:r>
        <w:rPr>
          <w:rFonts w:ascii="Times New Roman" w:eastAsia="Lucida Sans Unicode" w:hAnsi="Times New Roman" w:cs="Times New Roman"/>
          <w:sz w:val="28"/>
          <w:szCs w:val="28"/>
        </w:rPr>
        <w:t>ы по состоянию на 10 октября 2024 года содержатся сведения о 1880 субъектах малого и среднего предпринимательства</w:t>
      </w:r>
      <w:r w:rsidR="00FA7114">
        <w:rPr>
          <w:rFonts w:ascii="Times New Roman" w:eastAsia="Lucida Sans Unicode" w:hAnsi="Times New Roman" w:cs="Times New Roman"/>
          <w:sz w:val="28"/>
          <w:szCs w:val="28"/>
        </w:rPr>
        <w:t xml:space="preserve">, из которых 182 субъекта являются юридическими лицами. </w:t>
      </w:r>
    </w:p>
    <w:p w14:paraId="51C77688" w14:textId="3118E8C3" w:rsidR="00ED6137" w:rsidRPr="0040151F" w:rsidRDefault="00ED6137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По прогнозу в среднесрочн</w:t>
      </w:r>
      <w:r w:rsidR="005B0C33">
        <w:rPr>
          <w:rFonts w:ascii="Times New Roman" w:hAnsi="Times New Roman" w:cs="Times New Roman"/>
          <w:sz w:val="28"/>
          <w:szCs w:val="28"/>
        </w:rPr>
        <w:t xml:space="preserve">ом периоде </w:t>
      </w:r>
      <w:r w:rsidRPr="0040151F">
        <w:rPr>
          <w:rFonts w:ascii="Times New Roman" w:hAnsi="Times New Roman" w:cs="Times New Roman"/>
          <w:sz w:val="28"/>
          <w:szCs w:val="28"/>
        </w:rPr>
        <w:t>сохранится стабильная ситуация в сфере развития малого и среднего предпринимательства</w:t>
      </w:r>
      <w:r w:rsidR="00CB3703" w:rsidRPr="0040151F"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Pr="0040151F">
        <w:rPr>
          <w:rFonts w:ascii="Times New Roman" w:hAnsi="Times New Roman" w:cs="Times New Roman"/>
          <w:sz w:val="28"/>
          <w:szCs w:val="28"/>
        </w:rPr>
        <w:t>. В 202</w:t>
      </w:r>
      <w:r w:rsidR="00EA0DEC" w:rsidRPr="0040151F">
        <w:rPr>
          <w:rFonts w:ascii="Times New Roman" w:hAnsi="Times New Roman" w:cs="Times New Roman"/>
          <w:sz w:val="28"/>
          <w:szCs w:val="28"/>
        </w:rPr>
        <w:t>7</w:t>
      </w:r>
      <w:r w:rsidRPr="0040151F">
        <w:rPr>
          <w:rFonts w:ascii="Times New Roman" w:hAnsi="Times New Roman" w:cs="Times New Roman"/>
          <w:sz w:val="28"/>
          <w:szCs w:val="28"/>
        </w:rPr>
        <w:t xml:space="preserve"> году число предприятий </w:t>
      </w:r>
      <w:r w:rsidR="00CB3703" w:rsidRPr="0040151F">
        <w:rPr>
          <w:rFonts w:ascii="Times New Roman" w:hAnsi="Times New Roman" w:cs="Times New Roman"/>
          <w:sz w:val="28"/>
          <w:szCs w:val="28"/>
        </w:rPr>
        <w:t xml:space="preserve">МСП </w:t>
      </w:r>
      <w:r w:rsidRPr="0040151F">
        <w:rPr>
          <w:rFonts w:ascii="Times New Roman" w:hAnsi="Times New Roman" w:cs="Times New Roman"/>
          <w:sz w:val="28"/>
          <w:szCs w:val="28"/>
        </w:rPr>
        <w:t>(включая микропредприятия)</w:t>
      </w:r>
      <w:r w:rsidR="00811FA0">
        <w:rPr>
          <w:rFonts w:ascii="Times New Roman" w:hAnsi="Times New Roman" w:cs="Times New Roman"/>
          <w:sz w:val="28"/>
          <w:szCs w:val="28"/>
        </w:rPr>
        <w:t xml:space="preserve"> увеличит</w:t>
      </w:r>
      <w:r w:rsidR="00EA0DEC" w:rsidRPr="0040151F">
        <w:rPr>
          <w:rFonts w:ascii="Times New Roman" w:hAnsi="Times New Roman" w:cs="Times New Roman"/>
          <w:sz w:val="28"/>
          <w:szCs w:val="28"/>
        </w:rPr>
        <w:t>ся до 19</w:t>
      </w:r>
      <w:r w:rsidR="00FA7114">
        <w:rPr>
          <w:rFonts w:ascii="Times New Roman" w:hAnsi="Times New Roman" w:cs="Times New Roman"/>
          <w:sz w:val="28"/>
          <w:szCs w:val="28"/>
        </w:rPr>
        <w:t>0</w:t>
      </w:r>
      <w:r w:rsidR="00EA0DEC" w:rsidRPr="0040151F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40151F">
        <w:rPr>
          <w:rFonts w:ascii="Times New Roman" w:hAnsi="Times New Roman" w:cs="Times New Roman"/>
          <w:sz w:val="28"/>
          <w:szCs w:val="28"/>
        </w:rPr>
        <w:t xml:space="preserve">, </w:t>
      </w:r>
      <w:r w:rsidR="00CB3703" w:rsidRPr="0040151F">
        <w:rPr>
          <w:rFonts w:ascii="Times New Roman" w:hAnsi="Times New Roman" w:cs="Times New Roman"/>
          <w:sz w:val="28"/>
          <w:szCs w:val="28"/>
        </w:rPr>
        <w:t xml:space="preserve">а </w:t>
      </w:r>
      <w:r w:rsidRPr="0040151F">
        <w:rPr>
          <w:rFonts w:ascii="Times New Roman" w:hAnsi="Times New Roman" w:cs="Times New Roman"/>
          <w:sz w:val="28"/>
          <w:szCs w:val="28"/>
        </w:rPr>
        <w:t xml:space="preserve">численность занятых на этих предприятиях </w:t>
      </w:r>
      <w:r w:rsidR="005B0C33">
        <w:rPr>
          <w:rFonts w:ascii="Times New Roman" w:hAnsi="Times New Roman" w:cs="Times New Roman"/>
          <w:sz w:val="28"/>
          <w:szCs w:val="28"/>
        </w:rPr>
        <w:t>-</w:t>
      </w:r>
      <w:r w:rsidRPr="0040151F">
        <w:rPr>
          <w:rFonts w:ascii="Times New Roman" w:hAnsi="Times New Roman" w:cs="Times New Roman"/>
          <w:sz w:val="28"/>
          <w:szCs w:val="28"/>
        </w:rPr>
        <w:t xml:space="preserve"> до 2,8 тыс. человек.</w:t>
      </w:r>
      <w:r w:rsidR="00EA0DEC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Pr="0040151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05D4B" w:rsidRPr="0040151F">
        <w:rPr>
          <w:rFonts w:ascii="Times New Roman" w:hAnsi="Times New Roman" w:cs="Times New Roman"/>
          <w:sz w:val="28"/>
          <w:szCs w:val="28"/>
        </w:rPr>
        <w:t>всего</w:t>
      </w:r>
      <w:r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FA7114">
        <w:rPr>
          <w:rFonts w:ascii="Times New Roman" w:hAnsi="Times New Roman" w:cs="Times New Roman"/>
          <w:sz w:val="28"/>
          <w:szCs w:val="28"/>
        </w:rPr>
        <w:t xml:space="preserve">прогнозного </w:t>
      </w:r>
      <w:r w:rsidRPr="0040151F">
        <w:rPr>
          <w:rFonts w:ascii="Times New Roman" w:hAnsi="Times New Roman" w:cs="Times New Roman"/>
          <w:sz w:val="28"/>
          <w:szCs w:val="28"/>
        </w:rPr>
        <w:t xml:space="preserve">периода оборот МСП (включая микропредприятия) </w:t>
      </w:r>
      <w:r w:rsidR="00EA0DEC" w:rsidRPr="0040151F">
        <w:rPr>
          <w:rFonts w:ascii="Times New Roman" w:hAnsi="Times New Roman" w:cs="Times New Roman"/>
          <w:sz w:val="28"/>
          <w:szCs w:val="28"/>
        </w:rPr>
        <w:t>будет расти и к концу 2027 года составит 10,80 млрд. рублей.</w:t>
      </w:r>
    </w:p>
    <w:p w14:paraId="6C1B2562" w14:textId="77777777" w:rsidR="00ED6137" w:rsidRPr="0040151F" w:rsidRDefault="00ED6137" w:rsidP="00B62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51F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14:paraId="6876029B" w14:textId="17A8D92D" w:rsidR="00ED6137" w:rsidRPr="0040151F" w:rsidRDefault="006444D8" w:rsidP="005B0C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B0C33">
        <w:rPr>
          <w:rFonts w:ascii="Times New Roman" w:hAnsi="Times New Roman" w:cs="Times New Roman"/>
          <w:bCs/>
          <w:sz w:val="28"/>
          <w:szCs w:val="28"/>
        </w:rPr>
        <w:t>о данным мониторинга о</w:t>
      </w:r>
      <w:r w:rsidR="00ED6137" w:rsidRPr="0040151F">
        <w:rPr>
          <w:rFonts w:ascii="Times New Roman" w:hAnsi="Times New Roman" w:cs="Times New Roman"/>
          <w:bCs/>
          <w:sz w:val="28"/>
          <w:szCs w:val="28"/>
        </w:rPr>
        <w:t>бъем инвестиций в основной капитал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 (за исключением бюджетных средств) за </w:t>
      </w:r>
      <w:r w:rsidR="00FA7114">
        <w:rPr>
          <w:rFonts w:ascii="Times New Roman" w:hAnsi="Times New Roman" w:cs="Times New Roman"/>
          <w:sz w:val="28"/>
          <w:szCs w:val="28"/>
        </w:rPr>
        <w:t>9 месяцев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202</w:t>
      </w:r>
      <w:r w:rsidR="00DE7127" w:rsidRPr="0040151F">
        <w:rPr>
          <w:rFonts w:ascii="Times New Roman" w:hAnsi="Times New Roman" w:cs="Times New Roman"/>
          <w:sz w:val="28"/>
          <w:szCs w:val="28"/>
        </w:rPr>
        <w:t>4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35AA1">
        <w:rPr>
          <w:rFonts w:ascii="Times New Roman" w:hAnsi="Times New Roman" w:cs="Times New Roman"/>
          <w:sz w:val="28"/>
          <w:szCs w:val="28"/>
        </w:rPr>
        <w:t>1462,63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E7127" w:rsidRPr="0040151F">
        <w:rPr>
          <w:rFonts w:ascii="Times New Roman" w:hAnsi="Times New Roman" w:cs="Times New Roman"/>
          <w:sz w:val="28"/>
          <w:szCs w:val="28"/>
        </w:rPr>
        <w:t xml:space="preserve">. 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035AA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ED6137" w:rsidRPr="0040151F">
        <w:rPr>
          <w:rFonts w:ascii="Times New Roman" w:hAnsi="Times New Roman" w:cs="Times New Roman"/>
          <w:sz w:val="28"/>
          <w:szCs w:val="28"/>
        </w:rPr>
        <w:t>202</w:t>
      </w:r>
      <w:r w:rsidR="00DE7127" w:rsidRPr="0040151F">
        <w:rPr>
          <w:rFonts w:ascii="Times New Roman" w:hAnsi="Times New Roman" w:cs="Times New Roman"/>
          <w:sz w:val="28"/>
          <w:szCs w:val="28"/>
        </w:rPr>
        <w:t>4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года в округе продолжается реализация 1</w:t>
      </w:r>
      <w:r w:rsidR="00DE7127" w:rsidRPr="0040151F">
        <w:rPr>
          <w:rFonts w:ascii="Times New Roman" w:hAnsi="Times New Roman" w:cs="Times New Roman"/>
          <w:sz w:val="28"/>
          <w:szCs w:val="28"/>
        </w:rPr>
        <w:t>1</w:t>
      </w:r>
      <w:r w:rsidR="00ED6137" w:rsidRPr="0040151F">
        <w:rPr>
          <w:rFonts w:ascii="Times New Roman" w:hAnsi="Times New Roman" w:cs="Times New Roman"/>
          <w:sz w:val="28"/>
          <w:szCs w:val="28"/>
        </w:rPr>
        <w:t xml:space="preserve"> инвестиционных проектов</w:t>
      </w:r>
      <w:r w:rsidR="00DE7127" w:rsidRPr="0040151F">
        <w:rPr>
          <w:rFonts w:ascii="Times New Roman" w:hAnsi="Times New Roman" w:cs="Times New Roman"/>
          <w:sz w:val="28"/>
          <w:szCs w:val="28"/>
        </w:rPr>
        <w:t>.</w:t>
      </w:r>
    </w:p>
    <w:p w14:paraId="124EE4A1" w14:textId="2B069616" w:rsidR="00ED6137" w:rsidRPr="0040151F" w:rsidRDefault="00ED6137" w:rsidP="00401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По итогам 202</w:t>
      </w:r>
      <w:r w:rsidR="00DE7127" w:rsidRPr="0040151F">
        <w:rPr>
          <w:rFonts w:ascii="Times New Roman" w:hAnsi="Times New Roman" w:cs="Times New Roman"/>
          <w:sz w:val="28"/>
          <w:szCs w:val="28"/>
        </w:rPr>
        <w:t>4</w:t>
      </w:r>
      <w:r w:rsidRPr="0040151F">
        <w:rPr>
          <w:rFonts w:ascii="Times New Roman" w:hAnsi="Times New Roman" w:cs="Times New Roman"/>
          <w:sz w:val="28"/>
          <w:szCs w:val="28"/>
        </w:rPr>
        <w:t xml:space="preserve"> года объем инвестиций крупных и средних предприятий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оценивается в сумме </w:t>
      </w:r>
      <w:r w:rsidR="00DE7127" w:rsidRPr="0040151F">
        <w:rPr>
          <w:rFonts w:ascii="Times New Roman" w:hAnsi="Times New Roman" w:cs="Times New Roman"/>
          <w:sz w:val="28"/>
          <w:szCs w:val="28"/>
        </w:rPr>
        <w:t>1883,03</w:t>
      </w:r>
      <w:r w:rsidRPr="0040151F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DE7127" w:rsidRPr="0040151F">
        <w:rPr>
          <w:rFonts w:ascii="Times New Roman" w:hAnsi="Times New Roman" w:cs="Times New Roman"/>
          <w:sz w:val="28"/>
          <w:szCs w:val="28"/>
        </w:rPr>
        <w:t>33,</w:t>
      </w:r>
      <w:r w:rsidR="00035AA1">
        <w:rPr>
          <w:rFonts w:ascii="Times New Roman" w:hAnsi="Times New Roman" w:cs="Times New Roman"/>
          <w:sz w:val="28"/>
          <w:szCs w:val="28"/>
        </w:rPr>
        <w:t>15</w:t>
      </w:r>
      <w:r w:rsidRPr="0040151F">
        <w:rPr>
          <w:rFonts w:ascii="Times New Roman" w:hAnsi="Times New Roman" w:cs="Times New Roman"/>
          <w:sz w:val="28"/>
          <w:szCs w:val="28"/>
        </w:rPr>
        <w:t>% к аналогичному показателю 202</w:t>
      </w:r>
      <w:r w:rsidR="00DE7127" w:rsidRPr="0040151F">
        <w:rPr>
          <w:rFonts w:ascii="Times New Roman" w:hAnsi="Times New Roman" w:cs="Times New Roman"/>
          <w:sz w:val="28"/>
          <w:szCs w:val="28"/>
        </w:rPr>
        <w:t>3 года</w:t>
      </w:r>
      <w:r w:rsidR="00035AA1">
        <w:rPr>
          <w:rFonts w:ascii="Times New Roman" w:hAnsi="Times New Roman" w:cs="Times New Roman"/>
          <w:sz w:val="28"/>
          <w:szCs w:val="28"/>
        </w:rPr>
        <w:t xml:space="preserve"> </w:t>
      </w:r>
      <w:r w:rsidR="00035AA1" w:rsidRPr="0040151F">
        <w:rPr>
          <w:rFonts w:ascii="Times New Roman" w:hAnsi="Times New Roman" w:cs="Times New Roman"/>
          <w:sz w:val="28"/>
          <w:szCs w:val="28"/>
        </w:rPr>
        <w:t>(в сопоставимых ценах)</w:t>
      </w:r>
      <w:r w:rsidR="00DE7127" w:rsidRPr="0040151F">
        <w:rPr>
          <w:rFonts w:ascii="Times New Roman" w:hAnsi="Times New Roman" w:cs="Times New Roman"/>
          <w:sz w:val="28"/>
          <w:szCs w:val="28"/>
        </w:rPr>
        <w:t xml:space="preserve">. Снижение показателя </w:t>
      </w:r>
      <w:r w:rsidRPr="0040151F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C41185">
        <w:rPr>
          <w:rFonts w:ascii="Times New Roman" w:hAnsi="Times New Roman" w:cs="Times New Roman"/>
          <w:sz w:val="28"/>
          <w:szCs w:val="28"/>
        </w:rPr>
        <w:t>завершением</w:t>
      </w:r>
      <w:r w:rsidR="00DE7127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035AA1">
        <w:rPr>
          <w:rFonts w:ascii="Times New Roman" w:hAnsi="Times New Roman" w:cs="Times New Roman"/>
          <w:sz w:val="28"/>
          <w:szCs w:val="28"/>
        </w:rPr>
        <w:t>в 2023 году</w:t>
      </w:r>
      <w:r w:rsidR="00DE7127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4A79CD">
        <w:rPr>
          <w:rFonts w:ascii="Times New Roman" w:eastAsia="Times New Roman" w:hAnsi="Times New Roman" w:cs="Times New Roman"/>
          <w:sz w:val="28"/>
          <w:szCs w:val="28"/>
        </w:rPr>
        <w:t>двух крупных</w:t>
      </w:r>
      <w:r w:rsidR="00DE7127" w:rsidRPr="0040151F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</w:t>
      </w:r>
      <w:r w:rsidR="00C4118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E7127" w:rsidRPr="0040151F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C4118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35AA1">
        <w:rPr>
          <w:rFonts w:ascii="Times New Roman" w:eastAsia="Times New Roman" w:hAnsi="Times New Roman" w:cs="Times New Roman"/>
          <w:sz w:val="28"/>
          <w:szCs w:val="28"/>
        </w:rPr>
        <w:t xml:space="preserve"> в сфере энергетики</w:t>
      </w:r>
      <w:r w:rsidR="00C411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127" w:rsidRPr="00401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15C3AE" w14:textId="5A5C83F1" w:rsidR="00035AA1" w:rsidRDefault="00ED6137" w:rsidP="0040151F">
      <w:pPr>
        <w:shd w:val="clear" w:color="auto" w:fill="FFFFFF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В базовом варианте прогноза в 202</w:t>
      </w:r>
      <w:r w:rsidR="00DE7127" w:rsidRPr="0040151F">
        <w:rPr>
          <w:rFonts w:ascii="Times New Roman" w:hAnsi="Times New Roman" w:cs="Times New Roman"/>
          <w:sz w:val="28"/>
          <w:szCs w:val="28"/>
        </w:rPr>
        <w:t>5</w:t>
      </w:r>
      <w:r w:rsidRPr="004015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35AA1">
        <w:rPr>
          <w:rFonts w:ascii="Times New Roman" w:hAnsi="Times New Roman" w:cs="Times New Roman"/>
          <w:sz w:val="28"/>
          <w:szCs w:val="28"/>
        </w:rPr>
        <w:t>объем</w:t>
      </w:r>
      <w:r w:rsidR="002D0D6C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Pr="0040151F">
        <w:rPr>
          <w:rFonts w:ascii="Times New Roman" w:hAnsi="Times New Roman" w:cs="Times New Roman"/>
          <w:sz w:val="28"/>
          <w:szCs w:val="28"/>
        </w:rPr>
        <w:t>инвестици</w:t>
      </w:r>
      <w:r w:rsidR="002D0D6C" w:rsidRPr="0040151F">
        <w:rPr>
          <w:rFonts w:ascii="Times New Roman" w:hAnsi="Times New Roman" w:cs="Times New Roman"/>
          <w:sz w:val="28"/>
          <w:szCs w:val="28"/>
        </w:rPr>
        <w:t>й</w:t>
      </w:r>
      <w:r w:rsidRPr="0040151F">
        <w:rPr>
          <w:rFonts w:ascii="Times New Roman" w:hAnsi="Times New Roman" w:cs="Times New Roman"/>
          <w:sz w:val="28"/>
          <w:szCs w:val="28"/>
        </w:rPr>
        <w:t xml:space="preserve"> в экономику округа</w:t>
      </w:r>
      <w:r w:rsidR="00035AA1">
        <w:rPr>
          <w:rFonts w:ascii="Times New Roman" w:hAnsi="Times New Roman" w:cs="Times New Roman"/>
          <w:sz w:val="28"/>
          <w:szCs w:val="28"/>
        </w:rPr>
        <w:t xml:space="preserve"> увеличится до 2105,27 млн. рублей при темпе роста </w:t>
      </w:r>
      <w:r w:rsidR="006444D8">
        <w:rPr>
          <w:rFonts w:ascii="Times New Roman" w:hAnsi="Times New Roman" w:cs="Times New Roman"/>
          <w:sz w:val="28"/>
          <w:szCs w:val="28"/>
        </w:rPr>
        <w:t>103,71%</w:t>
      </w:r>
      <w:r w:rsidR="006444D8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035AA1">
        <w:rPr>
          <w:rFonts w:ascii="Times New Roman" w:hAnsi="Times New Roman" w:cs="Times New Roman"/>
          <w:sz w:val="28"/>
          <w:szCs w:val="28"/>
        </w:rPr>
        <w:t xml:space="preserve">к 2024 году </w:t>
      </w:r>
      <w:r w:rsidR="002D0D6C" w:rsidRPr="0040151F">
        <w:rPr>
          <w:rFonts w:ascii="Times New Roman" w:hAnsi="Times New Roman" w:cs="Times New Roman"/>
          <w:sz w:val="28"/>
          <w:szCs w:val="28"/>
        </w:rPr>
        <w:t>(в сопоставимых ценах)</w:t>
      </w:r>
      <w:r w:rsidR="006444D8">
        <w:rPr>
          <w:rFonts w:ascii="Times New Roman" w:hAnsi="Times New Roman" w:cs="Times New Roman"/>
          <w:sz w:val="28"/>
          <w:szCs w:val="28"/>
        </w:rPr>
        <w:t>, н</w:t>
      </w:r>
      <w:r w:rsidRPr="0040151F">
        <w:rPr>
          <w:rFonts w:ascii="Times New Roman" w:hAnsi="Times New Roman" w:cs="Times New Roman"/>
          <w:sz w:val="28"/>
          <w:szCs w:val="28"/>
        </w:rPr>
        <w:t xml:space="preserve">а долю предприятий, не относящихся к субъектам МСП, будет приходится </w:t>
      </w:r>
      <w:r w:rsidR="00035AA1">
        <w:rPr>
          <w:rFonts w:ascii="Times New Roman" w:hAnsi="Times New Roman" w:cs="Times New Roman"/>
          <w:sz w:val="28"/>
          <w:szCs w:val="28"/>
        </w:rPr>
        <w:t>более 65,00</w:t>
      </w:r>
      <w:r w:rsidRPr="0040151F">
        <w:rPr>
          <w:rFonts w:ascii="Times New Roman" w:hAnsi="Times New Roman" w:cs="Times New Roman"/>
          <w:sz w:val="28"/>
          <w:szCs w:val="28"/>
        </w:rPr>
        <w:t>% всего объема инвестиций.</w:t>
      </w:r>
      <w:r w:rsidRPr="004015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151F">
        <w:rPr>
          <w:rFonts w:ascii="Times New Roman" w:hAnsi="Times New Roman" w:cs="Times New Roman"/>
          <w:sz w:val="28"/>
          <w:szCs w:val="28"/>
        </w:rPr>
        <w:t>В 202</w:t>
      </w:r>
      <w:r w:rsidR="002D0D6C" w:rsidRPr="0040151F">
        <w:rPr>
          <w:rFonts w:ascii="Times New Roman" w:hAnsi="Times New Roman" w:cs="Times New Roman"/>
          <w:sz w:val="28"/>
          <w:szCs w:val="28"/>
        </w:rPr>
        <w:t>7</w:t>
      </w:r>
      <w:r w:rsidRPr="0040151F">
        <w:rPr>
          <w:rFonts w:ascii="Times New Roman" w:hAnsi="Times New Roman" w:cs="Times New Roman"/>
          <w:sz w:val="28"/>
          <w:szCs w:val="28"/>
        </w:rPr>
        <w:t xml:space="preserve"> году объем инвестиций данной категории </w:t>
      </w:r>
      <w:r w:rsidR="00035AA1"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достигнет </w:t>
      </w:r>
      <w:r w:rsidR="00035AA1">
        <w:rPr>
          <w:rFonts w:ascii="Times New Roman" w:eastAsia="Times New Roman" w:hAnsi="Times New Roman" w:cs="Times New Roman"/>
          <w:sz w:val="28"/>
          <w:szCs w:val="28"/>
        </w:rPr>
        <w:t>1980,51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="00035AA1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AC48DE9" w14:textId="6B33D957" w:rsidR="00ED6137" w:rsidRPr="0040151F" w:rsidRDefault="00ED6137" w:rsidP="005B0C33">
      <w:pPr>
        <w:shd w:val="clear" w:color="auto" w:fill="FFFFFF"/>
        <w:tabs>
          <w:tab w:val="left" w:pos="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2D0D6C" w:rsidRPr="0040151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2D0D6C" w:rsidRPr="0040151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годах </w:t>
      </w:r>
      <w:r w:rsidR="00A75ED8">
        <w:rPr>
          <w:rFonts w:ascii="Times New Roman" w:eastAsia="Times New Roman" w:hAnsi="Times New Roman" w:cs="Times New Roman"/>
          <w:sz w:val="28"/>
          <w:szCs w:val="28"/>
        </w:rPr>
        <w:t xml:space="preserve">промышленными и сельскохозяйственными 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предприятиями округа </w:t>
      </w:r>
      <w:r w:rsidR="00A75ED8">
        <w:rPr>
          <w:rFonts w:ascii="Times New Roman" w:eastAsia="Times New Roman" w:hAnsi="Times New Roman" w:cs="Times New Roman"/>
          <w:sz w:val="28"/>
          <w:szCs w:val="28"/>
        </w:rPr>
        <w:t xml:space="preserve">на инвестиционную деятельность 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705D4B" w:rsidRPr="0040151F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="00A75ED8">
        <w:rPr>
          <w:rFonts w:ascii="Times New Roman" w:eastAsia="Times New Roman" w:hAnsi="Times New Roman" w:cs="Times New Roman"/>
          <w:sz w:val="28"/>
          <w:szCs w:val="28"/>
        </w:rPr>
        <w:t>1323,47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  <w:r w:rsidR="005B0C33">
        <w:rPr>
          <w:rFonts w:ascii="Times New Roman" w:hAnsi="Times New Roman" w:cs="Times New Roman"/>
          <w:sz w:val="28"/>
          <w:szCs w:val="28"/>
        </w:rPr>
        <w:t xml:space="preserve"> 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Основными факторами, сдерживающими 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инвестиционное развитие округа, остаются дефицит энергоресурсов (отсутствие свободных мощностей водоснабжения) и необходимой инженерной инфраструктуры</w:t>
      </w:r>
      <w:r w:rsidR="00A75ED8">
        <w:rPr>
          <w:rFonts w:ascii="Times New Roman" w:eastAsia="Times New Roman" w:hAnsi="Times New Roman" w:cs="Times New Roman"/>
          <w:sz w:val="28"/>
          <w:szCs w:val="28"/>
        </w:rPr>
        <w:t>, а также высокая стоимость кредитных средств.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84EF3F" w14:textId="77777777" w:rsidR="00ED6137" w:rsidRPr="0040151F" w:rsidRDefault="00ED6137" w:rsidP="00401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3DB284A" w14:textId="77777777" w:rsidR="00A87652" w:rsidRPr="009E7222" w:rsidRDefault="00ED6137" w:rsidP="00B62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72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Бюджет</w:t>
      </w:r>
    </w:p>
    <w:p w14:paraId="39A58802" w14:textId="3C19C1F1" w:rsidR="00ED6137" w:rsidRPr="009E7222" w:rsidRDefault="00ED6137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22">
        <w:rPr>
          <w:rFonts w:ascii="Times New Roman" w:hAnsi="Times New Roman" w:cs="Times New Roman"/>
          <w:sz w:val="28"/>
          <w:szCs w:val="28"/>
        </w:rPr>
        <w:t xml:space="preserve">В бюджет Петровского </w:t>
      </w:r>
      <w:r w:rsidR="005949B4" w:rsidRPr="009E72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22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бюджет округа) за </w:t>
      </w:r>
      <w:r w:rsidR="009E7222" w:rsidRPr="009E7222">
        <w:rPr>
          <w:rFonts w:ascii="Times New Roman" w:hAnsi="Times New Roman" w:cs="Times New Roman"/>
          <w:sz w:val="28"/>
          <w:szCs w:val="28"/>
        </w:rPr>
        <w:t>9 месяцев</w:t>
      </w:r>
      <w:r w:rsidRPr="009E7222">
        <w:rPr>
          <w:rFonts w:ascii="Times New Roman" w:hAnsi="Times New Roman" w:cs="Times New Roman"/>
          <w:sz w:val="28"/>
          <w:szCs w:val="28"/>
        </w:rPr>
        <w:t xml:space="preserve"> 202</w:t>
      </w:r>
      <w:r w:rsidR="005949B4" w:rsidRPr="009E7222">
        <w:rPr>
          <w:rFonts w:ascii="Times New Roman" w:hAnsi="Times New Roman" w:cs="Times New Roman"/>
          <w:sz w:val="28"/>
          <w:szCs w:val="28"/>
        </w:rPr>
        <w:t>4</w:t>
      </w:r>
      <w:r w:rsidRPr="009E7222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E7222" w:rsidRPr="009E7222">
        <w:rPr>
          <w:rFonts w:ascii="Times New Roman" w:hAnsi="Times New Roman" w:cs="Times New Roman"/>
          <w:sz w:val="28"/>
          <w:szCs w:val="28"/>
        </w:rPr>
        <w:t>1956,0</w:t>
      </w:r>
      <w:r w:rsidRPr="009E7222">
        <w:rPr>
          <w:rFonts w:ascii="Times New Roman" w:hAnsi="Times New Roman" w:cs="Times New Roman"/>
          <w:sz w:val="28"/>
          <w:szCs w:val="28"/>
        </w:rPr>
        <w:t xml:space="preserve"> млн. рублей доходов.</w:t>
      </w:r>
      <w:r w:rsidR="00A926D8" w:rsidRPr="009E7222">
        <w:rPr>
          <w:rFonts w:ascii="Times New Roman" w:hAnsi="Times New Roman" w:cs="Times New Roman"/>
          <w:sz w:val="28"/>
          <w:szCs w:val="28"/>
        </w:rPr>
        <w:t xml:space="preserve"> По сос</w:t>
      </w:r>
      <w:r w:rsidR="00BC6024" w:rsidRPr="009E7222">
        <w:rPr>
          <w:rFonts w:ascii="Times New Roman" w:hAnsi="Times New Roman" w:cs="Times New Roman"/>
          <w:sz w:val="28"/>
          <w:szCs w:val="28"/>
        </w:rPr>
        <w:t xml:space="preserve">тоянию на 01 </w:t>
      </w:r>
      <w:r w:rsidR="009E7222" w:rsidRPr="009E7222">
        <w:rPr>
          <w:rFonts w:ascii="Times New Roman" w:hAnsi="Times New Roman" w:cs="Times New Roman"/>
          <w:sz w:val="28"/>
          <w:szCs w:val="28"/>
        </w:rPr>
        <w:t>октября</w:t>
      </w:r>
      <w:r w:rsidR="00BC6024" w:rsidRPr="009E7222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E7222">
        <w:rPr>
          <w:rFonts w:ascii="Times New Roman" w:hAnsi="Times New Roman" w:cs="Times New Roman"/>
          <w:sz w:val="28"/>
          <w:szCs w:val="28"/>
        </w:rPr>
        <w:t xml:space="preserve"> </w:t>
      </w:r>
      <w:r w:rsidR="00BC6024" w:rsidRPr="009E7222">
        <w:rPr>
          <w:rFonts w:ascii="Times New Roman" w:hAnsi="Times New Roman" w:cs="Times New Roman"/>
          <w:sz w:val="28"/>
          <w:szCs w:val="28"/>
        </w:rPr>
        <w:t>д</w:t>
      </w:r>
      <w:r w:rsidRPr="009E7222">
        <w:rPr>
          <w:rFonts w:ascii="Times New Roman" w:hAnsi="Times New Roman" w:cs="Times New Roman"/>
          <w:sz w:val="28"/>
          <w:szCs w:val="28"/>
        </w:rPr>
        <w:t xml:space="preserve">оходная часть бюджета округа исполнена на </w:t>
      </w:r>
      <w:r w:rsidR="009E7222" w:rsidRPr="009E7222">
        <w:rPr>
          <w:rFonts w:ascii="Times New Roman" w:hAnsi="Times New Roman" w:cs="Times New Roman"/>
          <w:sz w:val="28"/>
          <w:szCs w:val="28"/>
        </w:rPr>
        <w:t>66,7</w:t>
      </w:r>
      <w:r w:rsidRPr="009E7222"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(запланировано </w:t>
      </w:r>
      <w:r w:rsidR="009E7222" w:rsidRPr="009E7222">
        <w:rPr>
          <w:rFonts w:ascii="Times New Roman" w:hAnsi="Times New Roman" w:cs="Times New Roman"/>
          <w:sz w:val="28"/>
          <w:szCs w:val="28"/>
        </w:rPr>
        <w:t xml:space="preserve">2931,6 </w:t>
      </w:r>
      <w:r w:rsidRPr="009E7222">
        <w:rPr>
          <w:rFonts w:ascii="Times New Roman" w:hAnsi="Times New Roman" w:cs="Times New Roman"/>
          <w:sz w:val="28"/>
          <w:szCs w:val="28"/>
        </w:rPr>
        <w:t xml:space="preserve">млн. рублей). В общей сумме поступлений </w:t>
      </w:r>
      <w:r w:rsidR="009E7222" w:rsidRPr="009E7222">
        <w:rPr>
          <w:rFonts w:ascii="Times New Roman" w:hAnsi="Times New Roman" w:cs="Times New Roman"/>
          <w:sz w:val="28"/>
          <w:szCs w:val="28"/>
        </w:rPr>
        <w:t>33,4</w:t>
      </w:r>
      <w:r w:rsidRPr="009E7222">
        <w:rPr>
          <w:rFonts w:ascii="Times New Roman" w:hAnsi="Times New Roman" w:cs="Times New Roman"/>
          <w:sz w:val="28"/>
          <w:szCs w:val="28"/>
        </w:rPr>
        <w:t xml:space="preserve">% или </w:t>
      </w:r>
      <w:r w:rsidR="009E7222" w:rsidRPr="009E7222">
        <w:rPr>
          <w:rFonts w:ascii="Times New Roman" w:hAnsi="Times New Roman" w:cs="Times New Roman"/>
          <w:sz w:val="28"/>
          <w:szCs w:val="28"/>
        </w:rPr>
        <w:t>653,7</w:t>
      </w:r>
      <w:r w:rsidRPr="009E7222">
        <w:rPr>
          <w:rFonts w:ascii="Times New Roman" w:hAnsi="Times New Roman" w:cs="Times New Roman"/>
          <w:sz w:val="28"/>
          <w:szCs w:val="28"/>
        </w:rPr>
        <w:t xml:space="preserve"> млн. рублей составили налоговые и неналоговые доходы. Безвозмездные поступления занимают </w:t>
      </w:r>
      <w:r w:rsidR="009E7222" w:rsidRPr="009E7222">
        <w:rPr>
          <w:rFonts w:ascii="Times New Roman" w:hAnsi="Times New Roman" w:cs="Times New Roman"/>
          <w:sz w:val="28"/>
          <w:szCs w:val="28"/>
        </w:rPr>
        <w:t>66,6</w:t>
      </w:r>
      <w:r w:rsidRPr="009E7222">
        <w:rPr>
          <w:rFonts w:ascii="Times New Roman" w:hAnsi="Times New Roman" w:cs="Times New Roman"/>
          <w:sz w:val="28"/>
          <w:szCs w:val="28"/>
        </w:rPr>
        <w:t xml:space="preserve">% всех доходов бюджета округа. </w:t>
      </w:r>
    </w:p>
    <w:p w14:paraId="1E5F8893" w14:textId="5090971F" w:rsidR="00910588" w:rsidRPr="00A75ED8" w:rsidRDefault="00ED6137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7222">
        <w:rPr>
          <w:rFonts w:ascii="Times New Roman" w:hAnsi="Times New Roman" w:cs="Times New Roman"/>
          <w:sz w:val="28"/>
          <w:szCs w:val="28"/>
        </w:rPr>
        <w:t xml:space="preserve">Основным источником налоговых и неналоговых поступлений является налог на доходы физических лиц (далее </w:t>
      </w:r>
      <w:r w:rsidR="006C4413" w:rsidRPr="009E7222">
        <w:rPr>
          <w:rFonts w:ascii="Times New Roman" w:hAnsi="Times New Roman" w:cs="Times New Roman"/>
          <w:sz w:val="28"/>
          <w:szCs w:val="28"/>
        </w:rPr>
        <w:t>-</w:t>
      </w:r>
      <w:r w:rsidRPr="009E7222">
        <w:rPr>
          <w:rFonts w:ascii="Times New Roman" w:hAnsi="Times New Roman" w:cs="Times New Roman"/>
          <w:sz w:val="28"/>
          <w:szCs w:val="28"/>
        </w:rPr>
        <w:t xml:space="preserve"> НДФЛ).</w:t>
      </w:r>
      <w:r w:rsidRPr="009E72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7222" w:rsidRPr="009E7222">
        <w:rPr>
          <w:rFonts w:ascii="Times New Roman" w:hAnsi="Times New Roman" w:cs="Times New Roman"/>
          <w:sz w:val="28"/>
          <w:szCs w:val="28"/>
        </w:rPr>
        <w:t>В текущем году в</w:t>
      </w:r>
      <w:r w:rsidR="00910588" w:rsidRPr="009E7222">
        <w:rPr>
          <w:rFonts w:ascii="Times New Roman" w:hAnsi="Times New Roman" w:cs="Times New Roman"/>
          <w:sz w:val="28"/>
          <w:szCs w:val="28"/>
        </w:rPr>
        <w:t xml:space="preserve"> бюджет округа </w:t>
      </w:r>
      <w:r w:rsidR="009E7222" w:rsidRPr="009E7222">
        <w:rPr>
          <w:rFonts w:ascii="Times New Roman" w:hAnsi="Times New Roman" w:cs="Times New Roman"/>
          <w:sz w:val="28"/>
          <w:szCs w:val="28"/>
        </w:rPr>
        <w:t>НДФЛ</w:t>
      </w:r>
      <w:r w:rsidR="00910588" w:rsidRPr="009E7222">
        <w:rPr>
          <w:rFonts w:ascii="Times New Roman" w:hAnsi="Times New Roman" w:cs="Times New Roman"/>
          <w:sz w:val="28"/>
          <w:szCs w:val="28"/>
        </w:rPr>
        <w:t xml:space="preserve"> поступает по нормативу 62,3%</w:t>
      </w:r>
      <w:r w:rsidR="009E7222" w:rsidRPr="009E7222">
        <w:rPr>
          <w:rFonts w:ascii="Times New Roman" w:hAnsi="Times New Roman" w:cs="Times New Roman"/>
          <w:sz w:val="28"/>
          <w:szCs w:val="28"/>
        </w:rPr>
        <w:t xml:space="preserve">, </w:t>
      </w:r>
      <w:r w:rsidR="00C53515">
        <w:rPr>
          <w:rFonts w:ascii="Times New Roman" w:hAnsi="Times New Roman" w:cs="Times New Roman"/>
          <w:sz w:val="28"/>
          <w:szCs w:val="28"/>
        </w:rPr>
        <w:t>(+</w:t>
      </w:r>
      <w:r w:rsidR="009E7222" w:rsidRPr="009E7222">
        <w:rPr>
          <w:rFonts w:ascii="Times New Roman" w:hAnsi="Times New Roman" w:cs="Times New Roman"/>
          <w:sz w:val="28"/>
          <w:szCs w:val="28"/>
        </w:rPr>
        <w:t xml:space="preserve">19,45% </w:t>
      </w:r>
      <w:r w:rsidR="00C53515">
        <w:rPr>
          <w:rFonts w:ascii="Times New Roman" w:hAnsi="Times New Roman" w:cs="Times New Roman"/>
          <w:sz w:val="28"/>
          <w:szCs w:val="28"/>
        </w:rPr>
        <w:t>к</w:t>
      </w:r>
      <w:r w:rsidR="009E7222" w:rsidRPr="009E7222">
        <w:rPr>
          <w:rFonts w:ascii="Times New Roman" w:hAnsi="Times New Roman" w:cs="Times New Roman"/>
          <w:sz w:val="28"/>
          <w:szCs w:val="28"/>
        </w:rPr>
        <w:t xml:space="preserve"> </w:t>
      </w:r>
      <w:r w:rsidR="00910588" w:rsidRPr="009E7222">
        <w:rPr>
          <w:rFonts w:ascii="Times New Roman" w:hAnsi="Times New Roman" w:cs="Times New Roman"/>
          <w:sz w:val="28"/>
          <w:szCs w:val="28"/>
        </w:rPr>
        <w:t xml:space="preserve">2023 </w:t>
      </w:r>
      <w:r w:rsidR="009E7222" w:rsidRPr="009E7222">
        <w:rPr>
          <w:rFonts w:ascii="Times New Roman" w:hAnsi="Times New Roman" w:cs="Times New Roman"/>
          <w:sz w:val="28"/>
          <w:szCs w:val="28"/>
        </w:rPr>
        <w:t>году</w:t>
      </w:r>
      <w:r w:rsidR="00C53515">
        <w:rPr>
          <w:rFonts w:ascii="Times New Roman" w:hAnsi="Times New Roman" w:cs="Times New Roman"/>
          <w:sz w:val="28"/>
          <w:szCs w:val="28"/>
        </w:rPr>
        <w:t>)</w:t>
      </w:r>
      <w:r w:rsidR="009E7222" w:rsidRPr="009E7222">
        <w:rPr>
          <w:rFonts w:ascii="Times New Roman" w:hAnsi="Times New Roman" w:cs="Times New Roman"/>
          <w:sz w:val="28"/>
          <w:szCs w:val="28"/>
        </w:rPr>
        <w:t>.</w:t>
      </w:r>
      <w:r w:rsidR="00910588" w:rsidRPr="009E7222">
        <w:rPr>
          <w:rFonts w:ascii="Times New Roman" w:hAnsi="Times New Roman" w:cs="Times New Roman"/>
          <w:sz w:val="28"/>
          <w:szCs w:val="28"/>
        </w:rPr>
        <w:t xml:space="preserve"> </w:t>
      </w:r>
      <w:r w:rsidR="00E52724">
        <w:rPr>
          <w:rFonts w:ascii="Times New Roman" w:hAnsi="Times New Roman" w:cs="Times New Roman"/>
          <w:sz w:val="28"/>
          <w:szCs w:val="28"/>
        </w:rPr>
        <w:t>За 9 месяцев 2024 года в общем объеме налоговых и неналоговых доходов на долю НДФЛ приходится 61,50% (прирост в сравнении с аналогичным периодом 2023 года - 8,6%), плановые назначения по налогу выполнены на 120,90%.</w:t>
      </w:r>
    </w:p>
    <w:p w14:paraId="4D0A063A" w14:textId="77777777" w:rsidR="00C96A29" w:rsidRDefault="00910588" w:rsidP="00C9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4">
        <w:rPr>
          <w:rFonts w:ascii="Times New Roman" w:hAnsi="Times New Roman" w:cs="Times New Roman"/>
          <w:sz w:val="28"/>
          <w:szCs w:val="28"/>
          <w:lang w:eastAsia="en-US"/>
        </w:rPr>
        <w:t>Основные характеристики бюджета на 2024 год и плановый период 2025 и 2026 годов сформированы с учетом обязательств, направленных на обеспечение сбалансированности бюджета округа.</w:t>
      </w:r>
      <w:r w:rsidR="00E52724" w:rsidRPr="00E52724">
        <w:rPr>
          <w:rFonts w:ascii="Times New Roman" w:hAnsi="Times New Roman" w:cs="Times New Roman"/>
          <w:sz w:val="28"/>
          <w:szCs w:val="28"/>
        </w:rPr>
        <w:t xml:space="preserve"> </w:t>
      </w:r>
      <w:r w:rsidR="00ED6137" w:rsidRPr="00E52724">
        <w:rPr>
          <w:rFonts w:ascii="Times New Roman" w:hAnsi="Times New Roman" w:cs="Times New Roman"/>
          <w:sz w:val="28"/>
          <w:szCs w:val="28"/>
        </w:rPr>
        <w:t>Объем планируемых расходов бюджета округа на 202</w:t>
      </w:r>
      <w:r w:rsidR="002826E6" w:rsidRPr="00E52724">
        <w:rPr>
          <w:rFonts w:ascii="Times New Roman" w:hAnsi="Times New Roman" w:cs="Times New Roman"/>
          <w:sz w:val="28"/>
          <w:szCs w:val="28"/>
        </w:rPr>
        <w:t>4</w:t>
      </w:r>
      <w:r w:rsidR="00ED6137" w:rsidRPr="00E52724">
        <w:rPr>
          <w:rFonts w:ascii="Times New Roman" w:hAnsi="Times New Roman" w:cs="Times New Roman"/>
          <w:sz w:val="28"/>
          <w:szCs w:val="28"/>
        </w:rPr>
        <w:t xml:space="preserve"> год </w:t>
      </w:r>
      <w:r w:rsidR="00E52724" w:rsidRPr="00E52724">
        <w:rPr>
          <w:rFonts w:ascii="Times New Roman" w:hAnsi="Times New Roman" w:cs="Times New Roman"/>
          <w:sz w:val="28"/>
          <w:szCs w:val="28"/>
        </w:rPr>
        <w:t>за 9 месяцев</w:t>
      </w:r>
      <w:r w:rsidR="002826E6" w:rsidRPr="00E52724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ED6137" w:rsidRPr="00E52724">
        <w:rPr>
          <w:rFonts w:ascii="Times New Roman" w:hAnsi="Times New Roman" w:cs="Times New Roman"/>
          <w:sz w:val="28"/>
          <w:szCs w:val="28"/>
        </w:rPr>
        <w:t xml:space="preserve">увеличился по сравнению с первоначально принятым бюджетом на </w:t>
      </w:r>
      <w:r w:rsidR="00E52724" w:rsidRPr="00E52724">
        <w:rPr>
          <w:rFonts w:ascii="Times New Roman" w:hAnsi="Times New Roman" w:cs="Times New Roman"/>
          <w:sz w:val="28"/>
          <w:szCs w:val="28"/>
        </w:rPr>
        <w:t>545,10</w:t>
      </w:r>
      <w:r w:rsidR="00ED6137" w:rsidRPr="00E52724">
        <w:rPr>
          <w:rFonts w:ascii="Times New Roman" w:hAnsi="Times New Roman" w:cs="Times New Roman"/>
          <w:sz w:val="28"/>
          <w:szCs w:val="28"/>
        </w:rPr>
        <w:t xml:space="preserve"> млн. рублей и достиг </w:t>
      </w:r>
      <w:r w:rsidR="00E52724" w:rsidRPr="00E52724">
        <w:rPr>
          <w:rFonts w:ascii="Times New Roman" w:hAnsi="Times New Roman" w:cs="Times New Roman"/>
          <w:sz w:val="28"/>
          <w:szCs w:val="28"/>
        </w:rPr>
        <w:t>3067,90</w:t>
      </w:r>
      <w:r w:rsidR="00ED6137" w:rsidRPr="00E52724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ED6137" w:rsidRPr="00E52724">
        <w:rPr>
          <w:rFonts w:ascii="Times New Roman" w:hAnsi="Times New Roman" w:cs="Times New Roman"/>
          <w:iCs/>
          <w:sz w:val="28"/>
          <w:szCs w:val="28"/>
        </w:rPr>
        <w:t xml:space="preserve"> Расходная часть бюджета округа сформирована на основе 14 муниципальных программ, охватывающих все сферы деятельности органов местного самоуправления</w:t>
      </w:r>
      <w:r w:rsidR="00E52724" w:rsidRPr="00E52724">
        <w:rPr>
          <w:rFonts w:ascii="Times New Roman" w:hAnsi="Times New Roman" w:cs="Times New Roman"/>
          <w:iCs/>
          <w:sz w:val="28"/>
          <w:szCs w:val="28"/>
        </w:rPr>
        <w:t xml:space="preserve"> округа</w:t>
      </w:r>
      <w:r w:rsidR="00ED6137" w:rsidRPr="00E52724">
        <w:rPr>
          <w:rFonts w:ascii="Times New Roman" w:hAnsi="Times New Roman" w:cs="Times New Roman"/>
          <w:iCs/>
          <w:sz w:val="28"/>
          <w:szCs w:val="28"/>
        </w:rPr>
        <w:t>.</w:t>
      </w:r>
      <w:r w:rsidR="002826E6" w:rsidRPr="00E527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6137" w:rsidRPr="00E52724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за </w:t>
      </w:r>
      <w:r w:rsidR="006C4413" w:rsidRPr="00E52724">
        <w:rPr>
          <w:rFonts w:ascii="Times New Roman" w:eastAsia="Times New Roman" w:hAnsi="Times New Roman" w:cs="Times New Roman"/>
          <w:sz w:val="28"/>
          <w:szCs w:val="28"/>
        </w:rPr>
        <w:t xml:space="preserve">этот период </w:t>
      </w:r>
      <w:r w:rsidR="00ED6137" w:rsidRPr="00E52724">
        <w:rPr>
          <w:rFonts w:ascii="Times New Roman" w:eastAsia="Times New Roman" w:hAnsi="Times New Roman" w:cs="Times New Roman"/>
          <w:sz w:val="28"/>
          <w:szCs w:val="28"/>
        </w:rPr>
        <w:t xml:space="preserve">сложилось в сумме </w:t>
      </w:r>
      <w:r w:rsidR="00E52724" w:rsidRPr="00E52724">
        <w:rPr>
          <w:rFonts w:ascii="Times New Roman" w:eastAsia="Times New Roman" w:hAnsi="Times New Roman" w:cs="Times New Roman"/>
          <w:sz w:val="28"/>
          <w:szCs w:val="28"/>
        </w:rPr>
        <w:t>1892,20</w:t>
      </w:r>
      <w:r w:rsidR="00ED6137" w:rsidRPr="00E52724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или </w:t>
      </w:r>
      <w:r w:rsidR="00E52724" w:rsidRPr="00E52724">
        <w:rPr>
          <w:rFonts w:ascii="Times New Roman" w:eastAsia="Times New Roman" w:hAnsi="Times New Roman" w:cs="Times New Roman"/>
          <w:sz w:val="28"/>
          <w:szCs w:val="28"/>
        </w:rPr>
        <w:t>61,70</w:t>
      </w:r>
      <w:r w:rsidR="00ED6137" w:rsidRPr="00E52724">
        <w:rPr>
          <w:rFonts w:ascii="Times New Roman" w:eastAsia="Times New Roman" w:hAnsi="Times New Roman" w:cs="Times New Roman"/>
          <w:sz w:val="28"/>
          <w:szCs w:val="28"/>
        </w:rPr>
        <w:t>% к уточненному годовому плану</w:t>
      </w:r>
      <w:r w:rsidR="00C96A29" w:rsidRPr="00C96A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853381" w14:textId="0E263519" w:rsidR="007C0A3B" w:rsidRDefault="00C96A29" w:rsidP="00C9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текущем году на территории округа в рамках муниципальных программ осуществляется реализация 6 региональных проектов Ставропольского края</w:t>
      </w:r>
      <w:r w:rsidR="007C0A3B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региональные проекты)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направлены на выполнение 4 национальных проектов:</w:t>
      </w:r>
      <w:r w:rsidR="007C0A3B" w:rsidRPr="007C0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67AE8C" w14:textId="16FD3920" w:rsidR="00C96A29" w:rsidRDefault="007C0A3B" w:rsidP="007C0A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6A29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7"/>
        <w:gridCol w:w="1276"/>
        <w:gridCol w:w="1369"/>
        <w:gridCol w:w="1183"/>
      </w:tblGrid>
      <w:tr w:rsidR="00C96A29" w:rsidRPr="00C96A29" w14:paraId="3BF8DF02" w14:textId="77777777" w:rsidTr="007C0A3B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05C1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национального проекта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98F3B" w14:textId="12ECA909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регионального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8CDA3" w14:textId="3204F49C" w:rsidR="00C96A29" w:rsidRPr="00C96A29" w:rsidRDefault="00C96A29" w:rsidP="007C0A3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</w:t>
            </w:r>
            <w:r w:rsidR="007C0A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ровано</w:t>
            </w:r>
          </w:p>
          <w:p w14:paraId="47B6695A" w14:textId="2814582A" w:rsidR="00C96A29" w:rsidRPr="00C96A29" w:rsidRDefault="00C96A29" w:rsidP="007C0A3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96A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2024 г</w:t>
              </w:r>
            </w:smartTag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749BC" w14:textId="2F870E7D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9 мес.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96A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2024 г</w:t>
              </w:r>
            </w:smartTag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48D88" w14:textId="77777777" w:rsidR="00C96A29" w:rsidRPr="00C96A29" w:rsidRDefault="00C96A29" w:rsidP="007C0A3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Испол-нение,</w:t>
            </w:r>
          </w:p>
          <w:p w14:paraId="1F668B40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C96A29" w:rsidRPr="00C96A29" w14:paraId="3BAD0747" w14:textId="77777777" w:rsidTr="007C0A3B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01183" w14:textId="77777777" w:rsidR="00C96A29" w:rsidRPr="00C96A29" w:rsidRDefault="00C96A29" w:rsidP="007C0A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«Образование»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ADD" w14:textId="77777777" w:rsidR="00C96A29" w:rsidRPr="00C96A29" w:rsidRDefault="00C96A29" w:rsidP="007C0A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«Успех каждого ребенка»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5D3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1 586,4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259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1 586,4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7A1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96A29" w:rsidRPr="00C96A29" w14:paraId="4C18A1AB" w14:textId="77777777" w:rsidTr="007C0A3B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F5D2" w14:textId="77777777" w:rsidR="00C96A29" w:rsidRPr="00C96A29" w:rsidRDefault="00C96A29" w:rsidP="007C0A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80FC" w14:textId="77777777" w:rsidR="00C96A29" w:rsidRPr="00C96A29" w:rsidRDefault="00C96A29" w:rsidP="007C0A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«Патриотическое воспитание граждан РФ»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B96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4 985,4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33BD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3 314,3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93A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66,5</w:t>
            </w:r>
          </w:p>
        </w:tc>
      </w:tr>
      <w:tr w:rsidR="00C96A29" w:rsidRPr="00C96A29" w14:paraId="71694A9A" w14:textId="77777777" w:rsidTr="007C0A3B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EF0AA" w14:textId="77777777" w:rsidR="00C96A29" w:rsidRPr="00C96A29" w:rsidRDefault="00C96A29" w:rsidP="007C0A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«Демография»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397E7" w14:textId="77777777" w:rsidR="00C96A29" w:rsidRPr="00C96A29" w:rsidRDefault="00C96A29" w:rsidP="007C0A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«Финансовая поддержка семей при рождении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75336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14 986,9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FED60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12 261,2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23C89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81,8</w:t>
            </w:r>
          </w:p>
        </w:tc>
      </w:tr>
      <w:tr w:rsidR="00C96A29" w:rsidRPr="00C96A29" w14:paraId="507EDFD3" w14:textId="77777777" w:rsidTr="007C0A3B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FF94B" w14:textId="77777777" w:rsidR="00C96A29" w:rsidRPr="00C96A29" w:rsidRDefault="00C96A29" w:rsidP="007C0A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«Культура»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C1E" w14:textId="77777777" w:rsidR="00C96A29" w:rsidRPr="00C96A29" w:rsidRDefault="00C96A29" w:rsidP="007C0A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«Цифровая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E11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1 108,0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C9F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1 108,0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D51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96A29" w:rsidRPr="00C96A29" w14:paraId="0A10D5BA" w14:textId="77777777" w:rsidTr="007C0A3B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D92B8" w14:textId="77777777" w:rsidR="00C96A29" w:rsidRPr="00C96A29" w:rsidRDefault="00C96A29" w:rsidP="007C0A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7A5A" w14:textId="77777777" w:rsidR="00C96A29" w:rsidRPr="00C96A29" w:rsidRDefault="00C96A29" w:rsidP="007C0A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«Творческие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2E8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372,1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3EA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372,1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EF5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96A29" w:rsidRPr="00C96A29" w14:paraId="4C6EDF12" w14:textId="77777777" w:rsidTr="007C0A3B">
        <w:trPr>
          <w:trHeight w:val="2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074E" w14:textId="77777777" w:rsidR="00C96A29" w:rsidRPr="00C96A29" w:rsidRDefault="00C96A29" w:rsidP="007C0A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«Жилье и городская среда»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00CB" w14:textId="77777777" w:rsidR="00C96A29" w:rsidRPr="00C96A29" w:rsidRDefault="00C96A29" w:rsidP="007C0A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«Формирование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433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24 395,1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3F2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24 395,1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654" w14:textId="77777777" w:rsidR="00C96A29" w:rsidRPr="00C96A29" w:rsidRDefault="00C96A29" w:rsidP="007C0A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96A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</w:tbl>
    <w:p w14:paraId="00F6DDE4" w14:textId="77777777" w:rsidR="00C96A29" w:rsidRDefault="00C96A29" w:rsidP="00C9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63C36" w14:textId="149DB35E" w:rsidR="00ED6137" w:rsidRDefault="00ED6137" w:rsidP="00C9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Непрограммная часть занимает </w:t>
      </w:r>
      <w:r w:rsidR="002826E6" w:rsidRPr="00C96A29">
        <w:rPr>
          <w:rFonts w:ascii="Times New Roman" w:eastAsia="Times New Roman" w:hAnsi="Times New Roman" w:cs="Times New Roman"/>
          <w:sz w:val="28"/>
          <w:szCs w:val="28"/>
        </w:rPr>
        <w:t>0,</w:t>
      </w:r>
      <w:r w:rsidR="00C96A29" w:rsidRPr="00C96A2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96A29">
        <w:rPr>
          <w:rFonts w:ascii="Times New Roman" w:eastAsia="Times New Roman" w:hAnsi="Times New Roman" w:cs="Times New Roman"/>
          <w:sz w:val="28"/>
          <w:szCs w:val="28"/>
        </w:rPr>
        <w:t>% от общего объема расходов бюджета округа.</w:t>
      </w:r>
    </w:p>
    <w:p w14:paraId="7F10BC8E" w14:textId="65178E47" w:rsidR="00ED6137" w:rsidRPr="0040151F" w:rsidRDefault="00ED6137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A3B">
        <w:rPr>
          <w:rFonts w:ascii="Times New Roman" w:hAnsi="Times New Roman" w:cs="Times New Roman"/>
          <w:iCs/>
          <w:sz w:val="28"/>
          <w:szCs w:val="28"/>
        </w:rPr>
        <w:t>По предварительным расчетам в 202</w:t>
      </w:r>
      <w:r w:rsidR="00727E3D" w:rsidRPr="007C0A3B">
        <w:rPr>
          <w:rFonts w:ascii="Times New Roman" w:hAnsi="Times New Roman" w:cs="Times New Roman"/>
          <w:iCs/>
          <w:sz w:val="28"/>
          <w:szCs w:val="28"/>
        </w:rPr>
        <w:t>5</w:t>
      </w:r>
      <w:r w:rsidRPr="007C0A3B">
        <w:rPr>
          <w:rFonts w:ascii="Times New Roman" w:hAnsi="Times New Roman" w:cs="Times New Roman"/>
          <w:iCs/>
          <w:sz w:val="28"/>
          <w:szCs w:val="28"/>
        </w:rPr>
        <w:t xml:space="preserve"> году доходная часть</w:t>
      </w:r>
      <w:r w:rsidR="00727E3D" w:rsidRPr="007C0A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0A3B">
        <w:rPr>
          <w:rFonts w:ascii="Times New Roman" w:hAnsi="Times New Roman" w:cs="Times New Roman"/>
          <w:iCs/>
          <w:sz w:val="28"/>
          <w:szCs w:val="28"/>
        </w:rPr>
        <w:t xml:space="preserve">составит </w:t>
      </w:r>
      <w:r w:rsidR="007C0A3B" w:rsidRPr="007C0A3B">
        <w:rPr>
          <w:rFonts w:ascii="Times New Roman" w:hAnsi="Times New Roman" w:cs="Times New Roman"/>
          <w:iCs/>
          <w:sz w:val="28"/>
          <w:szCs w:val="28"/>
        </w:rPr>
        <w:t>2425,44</w:t>
      </w:r>
      <w:r w:rsidRPr="007C0A3B">
        <w:rPr>
          <w:rFonts w:ascii="Times New Roman" w:hAnsi="Times New Roman" w:cs="Times New Roman"/>
          <w:iCs/>
          <w:sz w:val="28"/>
          <w:szCs w:val="28"/>
        </w:rPr>
        <w:t xml:space="preserve"> млн. рублей</w:t>
      </w:r>
      <w:r w:rsidR="007C0A3B" w:rsidRPr="007C0A3B">
        <w:rPr>
          <w:rFonts w:ascii="Times New Roman" w:hAnsi="Times New Roman" w:cs="Times New Roman"/>
          <w:iCs/>
          <w:sz w:val="28"/>
          <w:szCs w:val="28"/>
        </w:rPr>
        <w:t>. Н</w:t>
      </w:r>
      <w:r w:rsidRPr="007C0A3B">
        <w:rPr>
          <w:rFonts w:ascii="Times New Roman" w:hAnsi="Times New Roman" w:cs="Times New Roman"/>
          <w:iCs/>
          <w:sz w:val="28"/>
          <w:szCs w:val="28"/>
        </w:rPr>
        <w:t xml:space="preserve">а долю налоговых и неналоговых доходов будет приходится </w:t>
      </w:r>
      <w:r w:rsidR="00727E3D" w:rsidRPr="007C0A3B">
        <w:rPr>
          <w:rFonts w:ascii="Times New Roman" w:hAnsi="Times New Roman" w:cs="Times New Roman"/>
          <w:iCs/>
          <w:sz w:val="28"/>
          <w:szCs w:val="28"/>
        </w:rPr>
        <w:t>34,</w:t>
      </w:r>
      <w:r w:rsidR="007C0A3B" w:rsidRPr="007C0A3B">
        <w:rPr>
          <w:rFonts w:ascii="Times New Roman" w:hAnsi="Times New Roman" w:cs="Times New Roman"/>
          <w:iCs/>
          <w:sz w:val="28"/>
          <w:szCs w:val="28"/>
        </w:rPr>
        <w:t>94</w:t>
      </w:r>
      <w:r w:rsidRPr="007C0A3B">
        <w:rPr>
          <w:rFonts w:ascii="Times New Roman" w:hAnsi="Times New Roman" w:cs="Times New Roman"/>
          <w:iCs/>
          <w:sz w:val="28"/>
          <w:szCs w:val="28"/>
        </w:rPr>
        <w:t>% всех поступлений в доходную часть бюджета округа</w:t>
      </w:r>
      <w:r w:rsidR="007C0A3B" w:rsidRPr="007C0A3B">
        <w:rPr>
          <w:rFonts w:ascii="Times New Roman" w:hAnsi="Times New Roman" w:cs="Times New Roman"/>
          <w:iCs/>
          <w:sz w:val="28"/>
          <w:szCs w:val="28"/>
        </w:rPr>
        <w:t xml:space="preserve"> или 847,52 млн. рублей. В структуре налоговых доходов НДФЛ будет занимать </w:t>
      </w:r>
      <w:r w:rsidR="00C53515">
        <w:rPr>
          <w:rFonts w:ascii="Times New Roman" w:hAnsi="Times New Roman" w:cs="Times New Roman"/>
          <w:iCs/>
          <w:sz w:val="28"/>
          <w:szCs w:val="28"/>
        </w:rPr>
        <w:t>67,92</w:t>
      </w:r>
      <w:r w:rsidR="007C0A3B" w:rsidRPr="007C0A3B">
        <w:rPr>
          <w:rFonts w:ascii="Times New Roman" w:hAnsi="Times New Roman" w:cs="Times New Roman"/>
          <w:iCs/>
          <w:sz w:val="28"/>
          <w:szCs w:val="28"/>
        </w:rPr>
        <w:t>%</w:t>
      </w:r>
      <w:r w:rsidR="004E3A29" w:rsidRPr="007C0A3B">
        <w:rPr>
          <w:rFonts w:ascii="Times New Roman" w:hAnsi="Times New Roman" w:cs="Times New Roman"/>
          <w:iCs/>
          <w:sz w:val="28"/>
          <w:szCs w:val="28"/>
        </w:rPr>
        <w:t>,</w:t>
      </w:r>
      <w:r w:rsidR="007C0A3B" w:rsidRPr="007C0A3B">
        <w:rPr>
          <w:rFonts w:ascii="Times New Roman" w:hAnsi="Times New Roman" w:cs="Times New Roman"/>
          <w:iCs/>
          <w:sz w:val="28"/>
          <w:szCs w:val="28"/>
        </w:rPr>
        <w:t xml:space="preserve"> а его поступление увеличится до 517,94 млн. рублей.</w:t>
      </w:r>
      <w:r w:rsidRPr="007C0A3B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7C0A3B" w:rsidRPr="007C0A3B">
        <w:rPr>
          <w:rFonts w:ascii="Times New Roman" w:hAnsi="Times New Roman" w:cs="Times New Roman"/>
          <w:iCs/>
          <w:sz w:val="28"/>
          <w:szCs w:val="28"/>
        </w:rPr>
        <w:t>Р</w:t>
      </w:r>
      <w:r w:rsidRPr="007C0A3B">
        <w:rPr>
          <w:rFonts w:ascii="Times New Roman" w:hAnsi="Times New Roman" w:cs="Times New Roman"/>
          <w:iCs/>
          <w:sz w:val="28"/>
          <w:szCs w:val="28"/>
        </w:rPr>
        <w:t xml:space="preserve">асходная </w:t>
      </w:r>
      <w:r w:rsidR="007C0A3B" w:rsidRPr="007C0A3B">
        <w:rPr>
          <w:rFonts w:ascii="Times New Roman" w:hAnsi="Times New Roman" w:cs="Times New Roman"/>
          <w:iCs/>
          <w:sz w:val="28"/>
          <w:szCs w:val="28"/>
        </w:rPr>
        <w:t>часть бюджета округа оценивается в 2432,47</w:t>
      </w:r>
      <w:r w:rsidRPr="007C0A3B">
        <w:rPr>
          <w:rFonts w:ascii="Times New Roman" w:hAnsi="Times New Roman" w:cs="Times New Roman"/>
          <w:iCs/>
          <w:sz w:val="28"/>
          <w:szCs w:val="28"/>
        </w:rPr>
        <w:t xml:space="preserve"> млн. рублей, дефицит с</w:t>
      </w:r>
      <w:r w:rsidR="007C0A3B" w:rsidRPr="007C0A3B">
        <w:rPr>
          <w:rFonts w:ascii="Times New Roman" w:hAnsi="Times New Roman" w:cs="Times New Roman"/>
          <w:iCs/>
          <w:sz w:val="28"/>
          <w:szCs w:val="28"/>
        </w:rPr>
        <w:t>ократится до 7,03 млн. рублей</w:t>
      </w:r>
      <w:r w:rsidRPr="007C0A3B">
        <w:rPr>
          <w:rFonts w:ascii="Times New Roman" w:hAnsi="Times New Roman" w:cs="Times New Roman"/>
          <w:iCs/>
          <w:sz w:val="28"/>
          <w:szCs w:val="28"/>
        </w:rPr>
        <w:t xml:space="preserve"> (по </w:t>
      </w:r>
      <w:r w:rsidR="00A6441E" w:rsidRPr="007C0A3B">
        <w:rPr>
          <w:rFonts w:ascii="Times New Roman" w:hAnsi="Times New Roman" w:cs="Times New Roman"/>
          <w:iCs/>
          <w:sz w:val="28"/>
          <w:szCs w:val="28"/>
        </w:rPr>
        <w:t>оценке</w:t>
      </w:r>
      <w:r w:rsidRPr="007C0A3B">
        <w:rPr>
          <w:rFonts w:ascii="Times New Roman" w:hAnsi="Times New Roman" w:cs="Times New Roman"/>
          <w:iCs/>
          <w:sz w:val="28"/>
          <w:szCs w:val="28"/>
        </w:rPr>
        <w:t xml:space="preserve"> в 202</w:t>
      </w:r>
      <w:r w:rsidR="00727E3D" w:rsidRPr="007C0A3B">
        <w:rPr>
          <w:rFonts w:ascii="Times New Roman" w:hAnsi="Times New Roman" w:cs="Times New Roman"/>
          <w:iCs/>
          <w:sz w:val="28"/>
          <w:szCs w:val="28"/>
        </w:rPr>
        <w:t>4</w:t>
      </w:r>
      <w:r w:rsidRPr="007C0A3B">
        <w:rPr>
          <w:rFonts w:ascii="Times New Roman" w:hAnsi="Times New Roman" w:cs="Times New Roman"/>
          <w:iCs/>
          <w:sz w:val="28"/>
          <w:szCs w:val="28"/>
        </w:rPr>
        <w:t xml:space="preserve"> году дефицит бюджета округа </w:t>
      </w:r>
      <w:r w:rsidR="007C0A3B" w:rsidRPr="007C0A3B">
        <w:rPr>
          <w:rFonts w:ascii="Times New Roman" w:hAnsi="Times New Roman" w:cs="Times New Roman"/>
          <w:iCs/>
          <w:sz w:val="28"/>
          <w:szCs w:val="28"/>
        </w:rPr>
        <w:t>составляет</w:t>
      </w:r>
      <w:r w:rsidRPr="007C0A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0A3B" w:rsidRPr="007C0A3B">
        <w:rPr>
          <w:rFonts w:ascii="Times New Roman" w:hAnsi="Times New Roman" w:cs="Times New Roman"/>
          <w:iCs/>
          <w:sz w:val="28"/>
          <w:szCs w:val="28"/>
        </w:rPr>
        <w:t>136,17</w:t>
      </w:r>
      <w:r w:rsidRPr="007C0A3B">
        <w:rPr>
          <w:rFonts w:ascii="Times New Roman" w:hAnsi="Times New Roman" w:cs="Times New Roman"/>
          <w:iCs/>
          <w:sz w:val="28"/>
          <w:szCs w:val="28"/>
        </w:rPr>
        <w:t xml:space="preserve"> млн. рублей).</w:t>
      </w:r>
    </w:p>
    <w:p w14:paraId="401E84BA" w14:textId="77777777" w:rsidR="00ED6137" w:rsidRPr="0040151F" w:rsidRDefault="00ED6137" w:rsidP="00C53515">
      <w:pPr>
        <w:pStyle w:val="2"/>
        <w:tabs>
          <w:tab w:val="left" w:pos="709"/>
        </w:tabs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D6B832" w14:textId="77777777" w:rsidR="00ED6137" w:rsidRPr="0040151F" w:rsidRDefault="00ED6137" w:rsidP="00C53515">
      <w:pPr>
        <w:pStyle w:val="2"/>
        <w:tabs>
          <w:tab w:val="left" w:pos="709"/>
        </w:tabs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151F">
        <w:rPr>
          <w:rFonts w:ascii="Times New Roman" w:hAnsi="Times New Roman"/>
          <w:b/>
          <w:sz w:val="28"/>
          <w:szCs w:val="28"/>
        </w:rPr>
        <w:t>Труд и занятость</w:t>
      </w:r>
    </w:p>
    <w:p w14:paraId="5BA99BBD" w14:textId="584C1F9B" w:rsidR="00DB71FF" w:rsidRPr="009E7222" w:rsidRDefault="00ED6137" w:rsidP="00F57945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0151F">
        <w:rPr>
          <w:rFonts w:ascii="Times New Roman" w:eastAsia="Lucida Sans Unicode" w:hAnsi="Times New Roman" w:cs="Times New Roman"/>
          <w:bCs/>
          <w:sz w:val="28"/>
          <w:szCs w:val="28"/>
        </w:rPr>
        <w:t>Среднесписочная численность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работников организаций</w:t>
      </w:r>
      <w:r w:rsidR="00DB71FF">
        <w:rPr>
          <w:rFonts w:ascii="Times New Roman" w:eastAsia="Lucida Sans Unicode" w:hAnsi="Times New Roman" w:cs="Times New Roman"/>
          <w:sz w:val="28"/>
          <w:szCs w:val="28"/>
        </w:rPr>
        <w:t>,</w:t>
      </w:r>
      <w:r w:rsidR="00AE2AD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B71FF" w:rsidRPr="0040151F">
        <w:rPr>
          <w:rFonts w:ascii="Times New Roman" w:eastAsia="Calibri" w:hAnsi="Times New Roman" w:cs="Times New Roman"/>
          <w:sz w:val="28"/>
          <w:szCs w:val="28"/>
        </w:rPr>
        <w:t>не относящихся к субъектам малого предпринимательства</w:t>
      </w:r>
      <w:r w:rsidR="00DB71F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AE2ADF">
        <w:rPr>
          <w:rFonts w:ascii="Times New Roman" w:eastAsia="Lucida Sans Unicode" w:hAnsi="Times New Roman" w:cs="Times New Roman"/>
          <w:sz w:val="28"/>
          <w:szCs w:val="28"/>
        </w:rPr>
        <w:t xml:space="preserve">(без </w:t>
      </w:r>
      <w:r w:rsidR="00DB71FF">
        <w:rPr>
          <w:rFonts w:ascii="Times New Roman" w:eastAsia="Lucida Sans Unicode" w:hAnsi="Times New Roman" w:cs="Times New Roman"/>
          <w:sz w:val="28"/>
          <w:szCs w:val="28"/>
        </w:rPr>
        <w:t>внешних совместителей</w:t>
      </w:r>
      <w:r w:rsidR="00AE2ADF">
        <w:rPr>
          <w:rFonts w:ascii="Times New Roman" w:eastAsia="Lucida Sans Unicode" w:hAnsi="Times New Roman" w:cs="Times New Roman"/>
          <w:sz w:val="28"/>
          <w:szCs w:val="28"/>
        </w:rPr>
        <w:t>)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за январь </w:t>
      </w:r>
      <w:r w:rsidR="00AE2ADF">
        <w:rPr>
          <w:rFonts w:ascii="Times New Roman" w:eastAsia="Lucida Sans Unicode" w:hAnsi="Times New Roman" w:cs="Times New Roman"/>
          <w:sz w:val="28"/>
          <w:szCs w:val="28"/>
        </w:rPr>
        <w:t>–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AE2ADF">
        <w:rPr>
          <w:rFonts w:ascii="Times New Roman" w:eastAsia="Lucida Sans Unicode" w:hAnsi="Times New Roman" w:cs="Times New Roman"/>
          <w:sz w:val="28"/>
          <w:szCs w:val="28"/>
        </w:rPr>
        <w:t xml:space="preserve">август 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>202</w:t>
      </w:r>
      <w:r w:rsidR="003777FE" w:rsidRPr="0040151F">
        <w:rPr>
          <w:rFonts w:ascii="Times New Roman" w:eastAsia="Lucida Sans Unicode" w:hAnsi="Times New Roman" w:cs="Times New Roman"/>
          <w:sz w:val="28"/>
          <w:szCs w:val="28"/>
        </w:rPr>
        <w:t>4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года </w:t>
      </w:r>
      <w:r w:rsidR="00C53515">
        <w:rPr>
          <w:rFonts w:ascii="Times New Roman" w:eastAsia="Lucida Sans Unicode" w:hAnsi="Times New Roman" w:cs="Times New Roman"/>
          <w:sz w:val="28"/>
          <w:szCs w:val="28"/>
        </w:rPr>
        <w:t>существенно не изменится -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B71FF">
        <w:rPr>
          <w:rFonts w:ascii="Times New Roman" w:eastAsia="Lucida Sans Unicode" w:hAnsi="Times New Roman" w:cs="Times New Roman"/>
          <w:sz w:val="28"/>
          <w:szCs w:val="28"/>
        </w:rPr>
        <w:t>9,84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тыс. человек </w:t>
      </w:r>
      <w:r w:rsidR="00DB71FF">
        <w:rPr>
          <w:rFonts w:ascii="Times New Roman" w:eastAsia="Lucida Sans Unicode" w:hAnsi="Times New Roman" w:cs="Times New Roman"/>
          <w:sz w:val="28"/>
          <w:szCs w:val="28"/>
        </w:rPr>
        <w:t>(</w:t>
      </w:r>
      <w:r w:rsidR="00AE2ADF">
        <w:rPr>
          <w:rFonts w:ascii="Times New Roman" w:eastAsia="Lucida Sans Unicode" w:hAnsi="Times New Roman" w:cs="Times New Roman"/>
          <w:sz w:val="28"/>
          <w:szCs w:val="28"/>
        </w:rPr>
        <w:t>98,</w:t>
      </w:r>
      <w:r w:rsidR="00DB71FF">
        <w:rPr>
          <w:rFonts w:ascii="Times New Roman" w:eastAsia="Lucida Sans Unicode" w:hAnsi="Times New Roman" w:cs="Times New Roman"/>
          <w:sz w:val="28"/>
          <w:szCs w:val="28"/>
        </w:rPr>
        <w:t>40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% </w:t>
      </w:r>
      <w:r w:rsidR="00DB71FF">
        <w:rPr>
          <w:rFonts w:ascii="Times New Roman" w:eastAsia="Lucida Sans Unicode" w:hAnsi="Times New Roman" w:cs="Times New Roman"/>
          <w:sz w:val="28"/>
          <w:szCs w:val="28"/>
        </w:rPr>
        <w:t xml:space="preserve">к 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>аналогичн</w:t>
      </w:r>
      <w:r w:rsidR="00DB71FF">
        <w:rPr>
          <w:rFonts w:ascii="Times New Roman" w:eastAsia="Lucida Sans Unicode" w:hAnsi="Times New Roman" w:cs="Times New Roman"/>
          <w:sz w:val="28"/>
          <w:szCs w:val="28"/>
        </w:rPr>
        <w:t xml:space="preserve">ому 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>период</w:t>
      </w:r>
      <w:r w:rsidR="00DB71FF">
        <w:rPr>
          <w:rFonts w:ascii="Times New Roman" w:eastAsia="Lucida Sans Unicode" w:hAnsi="Times New Roman" w:cs="Times New Roman"/>
          <w:sz w:val="28"/>
          <w:szCs w:val="28"/>
        </w:rPr>
        <w:t>у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202</w:t>
      </w:r>
      <w:r w:rsidR="003777FE" w:rsidRPr="0040151F">
        <w:rPr>
          <w:rFonts w:ascii="Times New Roman" w:eastAsia="Lucida Sans Unicode" w:hAnsi="Times New Roman" w:cs="Times New Roman"/>
          <w:sz w:val="28"/>
          <w:szCs w:val="28"/>
        </w:rPr>
        <w:t>3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года</w:t>
      </w:r>
      <w:r w:rsidR="00DB71FF">
        <w:rPr>
          <w:rFonts w:ascii="Times New Roman" w:eastAsia="Lucida Sans Unicode" w:hAnsi="Times New Roman" w:cs="Times New Roman"/>
          <w:sz w:val="28"/>
          <w:szCs w:val="28"/>
        </w:rPr>
        <w:t>), а с</w:t>
      </w:r>
      <w:r w:rsidR="00DB71FF" w:rsidRPr="0040151F">
        <w:rPr>
          <w:rFonts w:ascii="Times New Roman" w:eastAsia="Calibri" w:hAnsi="Times New Roman" w:cs="Times New Roman"/>
          <w:sz w:val="28"/>
          <w:szCs w:val="28"/>
        </w:rPr>
        <w:t>реднемесячная заработная плата работников списочного состава организаций</w:t>
      </w:r>
      <w:r w:rsidR="00DB71FF">
        <w:rPr>
          <w:rFonts w:ascii="Times New Roman" w:eastAsia="Calibri" w:hAnsi="Times New Roman" w:cs="Times New Roman"/>
          <w:sz w:val="28"/>
          <w:szCs w:val="28"/>
        </w:rPr>
        <w:t xml:space="preserve"> (без внешних совместителей)</w:t>
      </w:r>
      <w:r w:rsidR="00DB71FF" w:rsidRPr="0040151F">
        <w:rPr>
          <w:rFonts w:ascii="Times New Roman" w:eastAsia="Calibri" w:hAnsi="Times New Roman" w:cs="Times New Roman"/>
          <w:sz w:val="28"/>
          <w:szCs w:val="28"/>
        </w:rPr>
        <w:t xml:space="preserve"> за увеличилась </w:t>
      </w:r>
      <w:r w:rsidR="00DB71FF">
        <w:rPr>
          <w:rFonts w:ascii="Times New Roman" w:eastAsia="Calibri" w:hAnsi="Times New Roman" w:cs="Times New Roman"/>
          <w:sz w:val="28"/>
          <w:szCs w:val="28"/>
        </w:rPr>
        <w:t>до 46498,9</w:t>
      </w:r>
      <w:r w:rsidR="006444D8">
        <w:rPr>
          <w:rFonts w:ascii="Times New Roman" w:eastAsia="Calibri" w:hAnsi="Times New Roman" w:cs="Times New Roman"/>
          <w:sz w:val="28"/>
          <w:szCs w:val="28"/>
        </w:rPr>
        <w:t>0</w:t>
      </w:r>
      <w:r w:rsidR="00DB71FF" w:rsidRPr="0040151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B71FF">
        <w:rPr>
          <w:rFonts w:ascii="Times New Roman" w:eastAsia="Calibri" w:hAnsi="Times New Roman" w:cs="Times New Roman"/>
          <w:sz w:val="28"/>
          <w:szCs w:val="28"/>
        </w:rPr>
        <w:t>я</w:t>
      </w:r>
      <w:r w:rsidR="00DB71FF" w:rsidRPr="0040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1FF">
        <w:rPr>
          <w:rFonts w:ascii="Times New Roman" w:eastAsia="Calibri" w:hAnsi="Times New Roman" w:cs="Times New Roman"/>
          <w:sz w:val="28"/>
          <w:szCs w:val="28"/>
        </w:rPr>
        <w:t>(116,4</w:t>
      </w:r>
      <w:r w:rsidR="006444D8">
        <w:rPr>
          <w:rFonts w:ascii="Times New Roman" w:eastAsia="Calibri" w:hAnsi="Times New Roman" w:cs="Times New Roman"/>
          <w:sz w:val="28"/>
          <w:szCs w:val="28"/>
        </w:rPr>
        <w:t>0</w:t>
      </w:r>
      <w:r w:rsidR="00DB71FF" w:rsidRPr="0040151F">
        <w:rPr>
          <w:rFonts w:ascii="Times New Roman" w:eastAsia="Calibri" w:hAnsi="Times New Roman" w:cs="Times New Roman"/>
          <w:sz w:val="28"/>
          <w:szCs w:val="28"/>
        </w:rPr>
        <w:t>% к аналогично</w:t>
      </w:r>
      <w:r w:rsidR="00DB71FF">
        <w:rPr>
          <w:rFonts w:ascii="Times New Roman" w:eastAsia="Calibri" w:hAnsi="Times New Roman" w:cs="Times New Roman"/>
          <w:sz w:val="28"/>
          <w:szCs w:val="28"/>
        </w:rPr>
        <w:t>му периоду 2023 года)</w:t>
      </w:r>
      <w:r w:rsidR="00DB71FF" w:rsidRPr="00401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655431" w14:textId="7D69C556" w:rsidR="00ED6137" w:rsidRPr="0040151F" w:rsidRDefault="00ED6137" w:rsidP="004015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Ожидается, </w:t>
      </w:r>
      <w:r w:rsidR="00F57945">
        <w:rPr>
          <w:rFonts w:ascii="Times New Roman" w:eastAsia="Lucida Sans Unicode" w:hAnsi="Times New Roman" w:cs="Times New Roman"/>
          <w:sz w:val="28"/>
          <w:szCs w:val="28"/>
        </w:rPr>
        <w:t>что по итогам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202</w:t>
      </w:r>
      <w:r w:rsidR="003777FE" w:rsidRPr="0040151F">
        <w:rPr>
          <w:rFonts w:ascii="Times New Roman" w:eastAsia="Lucida Sans Unicode" w:hAnsi="Times New Roman" w:cs="Times New Roman"/>
          <w:sz w:val="28"/>
          <w:szCs w:val="28"/>
        </w:rPr>
        <w:t>4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год</w:t>
      </w:r>
      <w:r w:rsidR="00F57945"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общее число работников организаций, не относящихся к субъектам малого предпринимательства,</w:t>
      </w:r>
      <w:r w:rsidR="003777FE"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F57945">
        <w:rPr>
          <w:rFonts w:ascii="Times New Roman" w:eastAsia="Lucida Sans Unicode" w:hAnsi="Times New Roman" w:cs="Times New Roman"/>
          <w:sz w:val="28"/>
          <w:szCs w:val="28"/>
        </w:rPr>
        <w:t xml:space="preserve">составит 10,13 тыс. человек, фонд заработной платы работников увеличится до 5920,96 млн. рублей, а их среднемесячная номинальная начисленная заработная плата вырастет в сравнении с 2023 годом на 119,46 % и достигнет 48708,15 рубля.  </w:t>
      </w:r>
    </w:p>
    <w:p w14:paraId="67568397" w14:textId="3B273566" w:rsidR="00ED6137" w:rsidRPr="0040151F" w:rsidRDefault="00ED6137" w:rsidP="0079384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Положительная динамика </w:t>
      </w:r>
      <w:r w:rsidRPr="0040151F">
        <w:rPr>
          <w:rFonts w:ascii="Times New Roman" w:eastAsia="Calibri" w:hAnsi="Times New Roman" w:cs="Times New Roman"/>
          <w:sz w:val="28"/>
          <w:szCs w:val="28"/>
        </w:rPr>
        <w:t xml:space="preserve">среднемесячной заработной платы 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>сохранится и в прогноз</w:t>
      </w:r>
      <w:r w:rsidR="005B0C33">
        <w:rPr>
          <w:rFonts w:ascii="Times New Roman" w:eastAsia="Lucida Sans Unicode" w:hAnsi="Times New Roman" w:cs="Times New Roman"/>
          <w:sz w:val="28"/>
          <w:szCs w:val="28"/>
        </w:rPr>
        <w:t>н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>ом периоде</w:t>
      </w:r>
      <w:r w:rsidR="00703103">
        <w:rPr>
          <w:rFonts w:ascii="Times New Roman" w:eastAsia="Lucida Sans Unicode" w:hAnsi="Times New Roman" w:cs="Times New Roman"/>
          <w:sz w:val="28"/>
          <w:szCs w:val="28"/>
        </w:rPr>
        <w:t xml:space="preserve">. В </w:t>
      </w:r>
      <w:r w:rsidR="006B0750">
        <w:rPr>
          <w:rFonts w:ascii="Times New Roman" w:eastAsia="Lucida Sans Unicode" w:hAnsi="Times New Roman" w:cs="Times New Roman"/>
          <w:sz w:val="28"/>
          <w:szCs w:val="28"/>
        </w:rPr>
        <w:t xml:space="preserve">2025 году в сравнении с </w:t>
      </w:r>
      <w:r w:rsidR="00703103">
        <w:rPr>
          <w:rFonts w:ascii="Times New Roman" w:eastAsia="Lucida Sans Unicode" w:hAnsi="Times New Roman" w:cs="Times New Roman"/>
          <w:sz w:val="28"/>
          <w:szCs w:val="28"/>
        </w:rPr>
        <w:t>202</w:t>
      </w:r>
      <w:r w:rsidR="006B0750">
        <w:rPr>
          <w:rFonts w:ascii="Times New Roman" w:eastAsia="Lucida Sans Unicode" w:hAnsi="Times New Roman" w:cs="Times New Roman"/>
          <w:sz w:val="28"/>
          <w:szCs w:val="28"/>
        </w:rPr>
        <w:t xml:space="preserve">4 </w:t>
      </w:r>
      <w:r w:rsidR="00703103">
        <w:rPr>
          <w:rFonts w:ascii="Times New Roman" w:eastAsia="Lucida Sans Unicode" w:hAnsi="Times New Roman" w:cs="Times New Roman"/>
          <w:sz w:val="28"/>
          <w:szCs w:val="28"/>
        </w:rPr>
        <w:t>год</w:t>
      </w:r>
      <w:r w:rsidR="006B0750">
        <w:rPr>
          <w:rFonts w:ascii="Times New Roman" w:eastAsia="Lucida Sans Unicode" w:hAnsi="Times New Roman" w:cs="Times New Roman"/>
          <w:sz w:val="28"/>
          <w:szCs w:val="28"/>
        </w:rPr>
        <w:t>ом</w:t>
      </w:r>
      <w:r w:rsidR="00703103">
        <w:rPr>
          <w:rFonts w:ascii="Times New Roman" w:eastAsia="Lucida Sans Unicode" w:hAnsi="Times New Roman" w:cs="Times New Roman"/>
          <w:sz w:val="28"/>
          <w:szCs w:val="28"/>
        </w:rPr>
        <w:t xml:space="preserve"> в </w:t>
      </w:r>
      <w:r w:rsidR="00F57945"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базовом варианте </w:t>
      </w:r>
      <w:r w:rsidR="00703103">
        <w:rPr>
          <w:rFonts w:ascii="Times New Roman" w:eastAsia="Lucida Sans Unicode" w:hAnsi="Times New Roman" w:cs="Times New Roman"/>
          <w:sz w:val="28"/>
          <w:szCs w:val="28"/>
        </w:rPr>
        <w:t xml:space="preserve">прогноза 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>темп роста</w:t>
      </w:r>
      <w:r w:rsidR="00793849">
        <w:rPr>
          <w:rFonts w:ascii="Times New Roman" w:eastAsia="Lucida Sans Unicode" w:hAnsi="Times New Roman" w:cs="Times New Roman"/>
          <w:sz w:val="28"/>
          <w:szCs w:val="28"/>
        </w:rPr>
        <w:t xml:space="preserve"> показателя составит </w:t>
      </w:r>
      <w:r w:rsidR="00703103">
        <w:rPr>
          <w:rFonts w:ascii="Times New Roman" w:eastAsia="Lucida Sans Unicode" w:hAnsi="Times New Roman" w:cs="Times New Roman"/>
          <w:sz w:val="28"/>
          <w:szCs w:val="28"/>
        </w:rPr>
        <w:t>114,8</w:t>
      </w:r>
      <w:r w:rsidR="006444D8">
        <w:rPr>
          <w:rFonts w:ascii="Times New Roman" w:eastAsia="Lucida Sans Unicode" w:hAnsi="Times New Roman" w:cs="Times New Roman"/>
          <w:sz w:val="28"/>
          <w:szCs w:val="28"/>
        </w:rPr>
        <w:t>0</w:t>
      </w:r>
      <w:r w:rsidR="00793849">
        <w:rPr>
          <w:rFonts w:ascii="Times New Roman" w:eastAsia="Lucida Sans Unicode" w:hAnsi="Times New Roman" w:cs="Times New Roman"/>
          <w:sz w:val="28"/>
          <w:szCs w:val="28"/>
        </w:rPr>
        <w:t>%</w:t>
      </w:r>
      <w:r w:rsidR="00703103">
        <w:rPr>
          <w:rFonts w:ascii="Times New Roman" w:eastAsia="Lucida Sans Unicode" w:hAnsi="Times New Roman" w:cs="Times New Roman"/>
          <w:sz w:val="28"/>
          <w:szCs w:val="28"/>
        </w:rPr>
        <w:t>,</w:t>
      </w:r>
      <w:r w:rsidR="006B075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703103">
        <w:rPr>
          <w:rFonts w:ascii="Times New Roman" w:eastAsia="Lucida Sans Unicode" w:hAnsi="Times New Roman" w:cs="Times New Roman"/>
          <w:sz w:val="28"/>
          <w:szCs w:val="28"/>
        </w:rPr>
        <w:t xml:space="preserve">увеличение </w:t>
      </w:r>
      <w:r w:rsidR="00793849">
        <w:rPr>
          <w:rFonts w:ascii="Times New Roman" w:hAnsi="Times New Roman" w:cs="Times New Roman"/>
          <w:sz w:val="28"/>
          <w:szCs w:val="28"/>
        </w:rPr>
        <w:t>ф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>онд</w:t>
      </w:r>
      <w:r w:rsidR="00703103"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 xml:space="preserve"> заработной платы работников организаций </w:t>
      </w:r>
      <w:r w:rsidR="00793849">
        <w:rPr>
          <w:rFonts w:ascii="Times New Roman" w:eastAsia="Lucida Sans Unicode" w:hAnsi="Times New Roman" w:cs="Times New Roman"/>
          <w:sz w:val="28"/>
          <w:szCs w:val="28"/>
        </w:rPr>
        <w:t xml:space="preserve">ожидается на уровне </w:t>
      </w:r>
      <w:r w:rsidR="00703103">
        <w:rPr>
          <w:rFonts w:ascii="Times New Roman" w:eastAsia="Lucida Sans Unicode" w:hAnsi="Times New Roman" w:cs="Times New Roman"/>
          <w:sz w:val="28"/>
          <w:szCs w:val="28"/>
        </w:rPr>
        <w:t>116,16</w:t>
      </w:r>
      <w:r w:rsidR="00E11629">
        <w:rPr>
          <w:rFonts w:ascii="Times New Roman" w:eastAsia="Lucida Sans Unicode" w:hAnsi="Times New Roman" w:cs="Times New Roman"/>
          <w:sz w:val="28"/>
          <w:szCs w:val="28"/>
        </w:rPr>
        <w:t>%</w:t>
      </w:r>
      <w:r w:rsidRPr="0040151F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14:paraId="7D031955" w14:textId="4E5CFAE9" w:rsidR="00A24FC3" w:rsidRDefault="00ED6137" w:rsidP="004015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r w:rsidR="00CD14FA" w:rsidRPr="0040151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906655" w:rsidRPr="0040151F">
        <w:rPr>
          <w:rFonts w:ascii="Times New Roman" w:hAnsi="Times New Roman" w:cs="Times New Roman"/>
          <w:sz w:val="28"/>
          <w:szCs w:val="28"/>
        </w:rPr>
        <w:t xml:space="preserve"> центра занятости Апанасенковского, Ипатовского, Петровского и Туркменского муниципальных округов</w:t>
      </w:r>
      <w:r w:rsidR="00906655" w:rsidRPr="004015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151F">
        <w:rPr>
          <w:rFonts w:ascii="Times New Roman" w:eastAsia="Times New Roman" w:hAnsi="Times New Roman" w:cs="Times New Roman"/>
          <w:bCs/>
          <w:sz w:val="28"/>
          <w:szCs w:val="28"/>
        </w:rPr>
        <w:t>уровень регистрируемой безработицы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6B0750">
        <w:rPr>
          <w:rFonts w:ascii="Times New Roman" w:eastAsia="Times New Roman" w:hAnsi="Times New Roman" w:cs="Times New Roman"/>
          <w:sz w:val="28"/>
          <w:szCs w:val="28"/>
        </w:rPr>
        <w:t>01 октября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175D6" w:rsidRPr="004015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6B0750">
        <w:rPr>
          <w:rFonts w:ascii="Times New Roman" w:eastAsia="Times New Roman" w:hAnsi="Times New Roman" w:cs="Times New Roman"/>
          <w:sz w:val="28"/>
          <w:szCs w:val="28"/>
        </w:rPr>
        <w:t>0,7</w:t>
      </w:r>
      <w:r w:rsidR="006B0750" w:rsidRPr="000A300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 xml:space="preserve"> (на </w:t>
      </w:r>
      <w:r w:rsidR="000A3003" w:rsidRPr="000A3003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175D6" w:rsidRPr="000A30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175D6" w:rsidRPr="000A300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  <w:r w:rsidR="000A3003" w:rsidRPr="000A300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 xml:space="preserve">%). Численность официально зарегистрированных безработных - </w:t>
      </w:r>
      <w:r w:rsidR="002175D6" w:rsidRPr="000A30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0750" w:rsidRPr="000A3003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 xml:space="preserve"> человек, потребность в работниках, заявленная работодателями в органы службы занятости населения</w:t>
      </w:r>
      <w:r w:rsidR="00A24FC3" w:rsidRPr="000A30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750" w:rsidRPr="000A3003">
        <w:rPr>
          <w:rFonts w:ascii="Times New Roman" w:eastAsia="Times New Roman" w:hAnsi="Times New Roman" w:cs="Times New Roman"/>
          <w:sz w:val="28"/>
          <w:szCs w:val="28"/>
        </w:rPr>
        <w:t>781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 xml:space="preserve"> человек (по состоянию на </w:t>
      </w:r>
      <w:r w:rsidR="000A3003" w:rsidRPr="000A3003">
        <w:rPr>
          <w:rFonts w:ascii="Times New Roman" w:eastAsia="Times New Roman" w:hAnsi="Times New Roman" w:cs="Times New Roman"/>
          <w:sz w:val="28"/>
          <w:szCs w:val="28"/>
        </w:rPr>
        <w:t xml:space="preserve">29 сентября 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175D6" w:rsidRPr="000A30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0A3003" w:rsidRPr="000A3003">
        <w:rPr>
          <w:rFonts w:ascii="Times New Roman" w:eastAsia="Times New Roman" w:hAnsi="Times New Roman" w:cs="Times New Roman"/>
          <w:sz w:val="28"/>
          <w:szCs w:val="28"/>
        </w:rPr>
        <w:t xml:space="preserve">346 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 xml:space="preserve">человек и </w:t>
      </w:r>
      <w:r w:rsidR="002175D6" w:rsidRPr="000A300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A3003" w:rsidRPr="000A3003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175D6" w:rsidRPr="000A300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A3003" w:rsidRPr="000A30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3003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соответственно).</w:t>
      </w:r>
      <w:r w:rsidRPr="00401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F6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0C33">
        <w:rPr>
          <w:rFonts w:ascii="Times New Roman" w:eastAsia="Times New Roman" w:hAnsi="Times New Roman" w:cs="Times New Roman"/>
          <w:sz w:val="28"/>
          <w:szCs w:val="28"/>
        </w:rPr>
        <w:t>среднесрочной перспективе</w:t>
      </w:r>
      <w:r w:rsidR="00542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750">
        <w:rPr>
          <w:rFonts w:ascii="Times New Roman" w:eastAsia="Times New Roman" w:hAnsi="Times New Roman" w:cs="Times New Roman"/>
          <w:sz w:val="28"/>
          <w:szCs w:val="28"/>
        </w:rPr>
        <w:t>существенных изменений показателей,</w:t>
      </w:r>
      <w:r w:rsidR="00542F63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характеризующих ситуацию на рынке </w:t>
      </w:r>
      <w:r w:rsidR="006B0750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542F63">
        <w:rPr>
          <w:rFonts w:ascii="Times New Roman" w:eastAsia="Times New Roman" w:hAnsi="Times New Roman" w:cs="Times New Roman"/>
          <w:sz w:val="28"/>
          <w:szCs w:val="28"/>
        </w:rPr>
        <w:t xml:space="preserve"> не ожидается</w:t>
      </w:r>
      <w:r w:rsidR="006B07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2F63">
        <w:rPr>
          <w:rFonts w:ascii="Times New Roman" w:eastAsia="Times New Roman" w:hAnsi="Times New Roman" w:cs="Times New Roman"/>
          <w:sz w:val="28"/>
          <w:szCs w:val="28"/>
        </w:rPr>
        <w:t xml:space="preserve">уровень безработицы не </w:t>
      </w:r>
      <w:r w:rsidR="005B0C33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542F63">
        <w:rPr>
          <w:rFonts w:ascii="Times New Roman" w:eastAsia="Times New Roman" w:hAnsi="Times New Roman" w:cs="Times New Roman"/>
          <w:sz w:val="28"/>
          <w:szCs w:val="28"/>
        </w:rPr>
        <w:t>превы</w:t>
      </w:r>
      <w:r w:rsidR="005B0C33">
        <w:rPr>
          <w:rFonts w:ascii="Times New Roman" w:eastAsia="Times New Roman" w:hAnsi="Times New Roman" w:cs="Times New Roman"/>
          <w:sz w:val="28"/>
          <w:szCs w:val="28"/>
        </w:rPr>
        <w:t>шать</w:t>
      </w:r>
      <w:r w:rsidR="00542F63">
        <w:rPr>
          <w:rFonts w:ascii="Times New Roman" w:eastAsia="Times New Roman" w:hAnsi="Times New Roman" w:cs="Times New Roman"/>
          <w:sz w:val="28"/>
          <w:szCs w:val="28"/>
        </w:rPr>
        <w:t xml:space="preserve"> 1,1%.</w:t>
      </w:r>
    </w:p>
    <w:p w14:paraId="7AEFDE24" w14:textId="14B376C7" w:rsidR="00ED6137" w:rsidRPr="0040151F" w:rsidRDefault="00ED6137" w:rsidP="004015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51F">
        <w:rPr>
          <w:rFonts w:ascii="Times New Roman" w:hAnsi="Times New Roman" w:cs="Times New Roman"/>
          <w:sz w:val="28"/>
          <w:szCs w:val="28"/>
          <w:shd w:val="clear" w:color="auto" w:fill="FFFFFF"/>
        </w:rPr>
        <w:t>По оценке, численность занятых в экономике к концу 202</w:t>
      </w:r>
      <w:r w:rsidR="002175D6" w:rsidRPr="0040151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401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6B075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</w:t>
      </w:r>
      <w:r w:rsidR="005B0C33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6B0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18,72</w:t>
      </w:r>
      <w:r w:rsidRPr="00401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человек. </w:t>
      </w:r>
      <w:r w:rsidR="002175D6" w:rsidRPr="00401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</w:t>
      </w:r>
      <w:r w:rsidR="005B0C33">
        <w:rPr>
          <w:rFonts w:ascii="Times New Roman" w:hAnsi="Times New Roman" w:cs="Times New Roman"/>
          <w:sz w:val="28"/>
          <w:szCs w:val="28"/>
          <w:shd w:val="clear" w:color="auto" w:fill="FFFFFF"/>
        </w:rPr>
        <w:t>2025 – 2027 годов</w:t>
      </w:r>
      <w:r w:rsidR="002175D6" w:rsidRPr="00401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750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общей демографической ситуации, сложившейся в округе</w:t>
      </w:r>
      <w:r w:rsidR="005B0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существенного </w:t>
      </w:r>
      <w:r w:rsidRPr="0040151F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увеличения</w:t>
      </w:r>
      <w:r w:rsidR="006B0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численности трудовых ресурсов и </w:t>
      </w:r>
      <w:r w:rsidR="006B0750">
        <w:rPr>
          <w:rFonts w:ascii="Times New Roman" w:hAnsi="Times New Roman" w:cs="Times New Roman"/>
          <w:sz w:val="28"/>
          <w:szCs w:val="28"/>
          <w:shd w:val="clear" w:color="auto" w:fill="FFFFFF"/>
        </w:rPr>
        <w:t>числа</w:t>
      </w:r>
      <w:r w:rsidRPr="00401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2AFE" w:rsidRPr="0040151F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занятых,</w:t>
      </w:r>
      <w:r w:rsidRPr="00401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прогнозируется</w:t>
      </w:r>
      <w:r w:rsidR="000717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75D6" w:rsidRPr="00401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F2A0C7A" w14:textId="77777777" w:rsidR="00ED6137" w:rsidRPr="0040151F" w:rsidRDefault="00ED6137" w:rsidP="00C5351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D98D5" w14:textId="77777777" w:rsidR="00C952D6" w:rsidRPr="0040151F" w:rsidRDefault="00C952D6" w:rsidP="00C5351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Финансы организаций</w:t>
      </w:r>
    </w:p>
    <w:p w14:paraId="4F4D0E87" w14:textId="123484A8" w:rsidR="00C952D6" w:rsidRPr="0040151F" w:rsidRDefault="00C952D6" w:rsidP="0040151F">
      <w:pPr>
        <w:tabs>
          <w:tab w:val="left" w:pos="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 xml:space="preserve">Сальдированный финансовый результат деятельности организаций без субъектов МСП, банков, страховых организаций и бюджетных учреждений за январь </w:t>
      </w:r>
      <w:r w:rsidR="004A1F36">
        <w:rPr>
          <w:rFonts w:ascii="Times New Roman" w:hAnsi="Times New Roman" w:cs="Times New Roman"/>
          <w:sz w:val="28"/>
          <w:szCs w:val="28"/>
        </w:rPr>
        <w:t>–</w:t>
      </w:r>
      <w:r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4A1F36">
        <w:rPr>
          <w:rFonts w:ascii="Times New Roman" w:hAnsi="Times New Roman" w:cs="Times New Roman"/>
          <w:sz w:val="28"/>
          <w:szCs w:val="28"/>
        </w:rPr>
        <w:t xml:space="preserve">июль </w:t>
      </w:r>
      <w:r w:rsidR="00DB4E59">
        <w:rPr>
          <w:rFonts w:ascii="Times New Roman" w:hAnsi="Times New Roman" w:cs="Times New Roman"/>
          <w:sz w:val="28"/>
          <w:szCs w:val="28"/>
        </w:rPr>
        <w:t>отчетного</w:t>
      </w:r>
      <w:r w:rsidRPr="0040151F">
        <w:rPr>
          <w:rFonts w:ascii="Times New Roman" w:hAnsi="Times New Roman" w:cs="Times New Roman"/>
          <w:sz w:val="28"/>
          <w:szCs w:val="28"/>
        </w:rPr>
        <w:t xml:space="preserve"> года сложился положительным и составил </w:t>
      </w:r>
      <w:r w:rsidR="004A1F36">
        <w:rPr>
          <w:rFonts w:ascii="Times New Roman" w:hAnsi="Times New Roman" w:cs="Times New Roman"/>
          <w:sz w:val="28"/>
          <w:szCs w:val="28"/>
        </w:rPr>
        <w:t>425,1</w:t>
      </w:r>
      <w:r w:rsidR="006444D8">
        <w:rPr>
          <w:rFonts w:ascii="Times New Roman" w:hAnsi="Times New Roman" w:cs="Times New Roman"/>
          <w:sz w:val="28"/>
          <w:szCs w:val="28"/>
        </w:rPr>
        <w:t>0</w:t>
      </w:r>
      <w:r w:rsidR="00852FA4" w:rsidRPr="0040151F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Pr="0040151F">
        <w:rPr>
          <w:rFonts w:ascii="Times New Roman" w:hAnsi="Times New Roman" w:cs="Times New Roman"/>
          <w:sz w:val="28"/>
          <w:szCs w:val="28"/>
        </w:rPr>
        <w:t xml:space="preserve">Прибыль в размере </w:t>
      </w:r>
      <w:r w:rsidR="00456385">
        <w:rPr>
          <w:rFonts w:ascii="Times New Roman" w:hAnsi="Times New Roman" w:cs="Times New Roman"/>
          <w:sz w:val="28"/>
          <w:szCs w:val="28"/>
        </w:rPr>
        <w:t>987,3</w:t>
      </w:r>
      <w:r w:rsidRPr="0040151F">
        <w:rPr>
          <w:rFonts w:ascii="Times New Roman" w:hAnsi="Times New Roman" w:cs="Times New Roman"/>
          <w:sz w:val="28"/>
          <w:szCs w:val="28"/>
        </w:rPr>
        <w:t xml:space="preserve"> млн. рублей получили </w:t>
      </w:r>
      <w:r w:rsidR="00852FA4" w:rsidRPr="0040151F">
        <w:rPr>
          <w:rFonts w:ascii="Times New Roman" w:hAnsi="Times New Roman" w:cs="Times New Roman"/>
          <w:sz w:val="28"/>
          <w:szCs w:val="28"/>
        </w:rPr>
        <w:t>56,3</w:t>
      </w:r>
      <w:r w:rsidR="006444D8">
        <w:rPr>
          <w:rFonts w:ascii="Times New Roman" w:hAnsi="Times New Roman" w:cs="Times New Roman"/>
          <w:sz w:val="28"/>
          <w:szCs w:val="28"/>
        </w:rPr>
        <w:t>0</w:t>
      </w:r>
      <w:r w:rsidRPr="0040151F">
        <w:rPr>
          <w:rFonts w:ascii="Times New Roman" w:hAnsi="Times New Roman" w:cs="Times New Roman"/>
          <w:sz w:val="28"/>
          <w:szCs w:val="28"/>
        </w:rPr>
        <w:t>% организаций округа. Ожидается, что в 202</w:t>
      </w:r>
      <w:r w:rsidR="00852FA4" w:rsidRPr="0040151F">
        <w:rPr>
          <w:rFonts w:ascii="Times New Roman" w:hAnsi="Times New Roman" w:cs="Times New Roman"/>
          <w:sz w:val="28"/>
          <w:szCs w:val="28"/>
        </w:rPr>
        <w:t>4</w:t>
      </w:r>
      <w:r w:rsidRPr="0040151F">
        <w:rPr>
          <w:rFonts w:ascii="Times New Roman" w:hAnsi="Times New Roman" w:cs="Times New Roman"/>
          <w:sz w:val="28"/>
          <w:szCs w:val="28"/>
        </w:rPr>
        <w:t xml:space="preserve"> году темп роста прибыли прибыльных организаций для целей бухгалтерского учета составит </w:t>
      </w:r>
      <w:r w:rsidR="00533C6F">
        <w:rPr>
          <w:rFonts w:ascii="Times New Roman" w:hAnsi="Times New Roman" w:cs="Times New Roman"/>
          <w:sz w:val="28"/>
          <w:szCs w:val="28"/>
        </w:rPr>
        <w:t>105,5</w:t>
      </w:r>
      <w:r w:rsidR="00572AFE">
        <w:rPr>
          <w:rFonts w:ascii="Times New Roman" w:hAnsi="Times New Roman" w:cs="Times New Roman"/>
          <w:sz w:val="28"/>
          <w:szCs w:val="28"/>
        </w:rPr>
        <w:t>0</w:t>
      </w:r>
      <w:r w:rsidRPr="0040151F">
        <w:rPr>
          <w:rFonts w:ascii="Times New Roman" w:hAnsi="Times New Roman" w:cs="Times New Roman"/>
          <w:sz w:val="28"/>
          <w:szCs w:val="28"/>
        </w:rPr>
        <w:t>%</w:t>
      </w:r>
      <w:r w:rsidR="00DB4E59">
        <w:rPr>
          <w:rFonts w:ascii="Times New Roman" w:hAnsi="Times New Roman" w:cs="Times New Roman"/>
          <w:sz w:val="28"/>
          <w:szCs w:val="28"/>
        </w:rPr>
        <w:t xml:space="preserve"> к 2023 году</w:t>
      </w:r>
      <w:r w:rsidRPr="0040151F">
        <w:rPr>
          <w:rFonts w:ascii="Times New Roman" w:hAnsi="Times New Roman" w:cs="Times New Roman"/>
          <w:sz w:val="28"/>
          <w:szCs w:val="28"/>
        </w:rPr>
        <w:t>, а в 202</w:t>
      </w:r>
      <w:r w:rsidR="00852FA4" w:rsidRPr="0040151F">
        <w:rPr>
          <w:rFonts w:ascii="Times New Roman" w:hAnsi="Times New Roman" w:cs="Times New Roman"/>
          <w:sz w:val="28"/>
          <w:szCs w:val="28"/>
        </w:rPr>
        <w:t>5</w:t>
      </w:r>
      <w:r w:rsidRPr="0040151F">
        <w:rPr>
          <w:rFonts w:ascii="Times New Roman" w:hAnsi="Times New Roman" w:cs="Times New Roman"/>
          <w:sz w:val="28"/>
          <w:szCs w:val="28"/>
        </w:rPr>
        <w:t xml:space="preserve"> году увеличится до </w:t>
      </w:r>
      <w:r w:rsidR="00572AFE">
        <w:rPr>
          <w:rFonts w:ascii="Times New Roman" w:hAnsi="Times New Roman" w:cs="Times New Roman"/>
          <w:sz w:val="28"/>
          <w:szCs w:val="28"/>
        </w:rPr>
        <w:t>108,00</w:t>
      </w:r>
      <w:r w:rsidRPr="0040151F">
        <w:rPr>
          <w:rFonts w:ascii="Times New Roman" w:hAnsi="Times New Roman" w:cs="Times New Roman"/>
          <w:sz w:val="28"/>
          <w:szCs w:val="28"/>
        </w:rPr>
        <w:t>% (в базовом варианте). Росту показателя будет способствовать выход российской сельскохозяйственной продукции на новые рынки</w:t>
      </w:r>
      <w:r w:rsidR="00456385">
        <w:rPr>
          <w:rFonts w:ascii="Times New Roman" w:hAnsi="Times New Roman" w:cs="Times New Roman"/>
          <w:sz w:val="28"/>
          <w:szCs w:val="28"/>
        </w:rPr>
        <w:t xml:space="preserve"> сбыта</w:t>
      </w:r>
      <w:r w:rsidRPr="0040151F">
        <w:rPr>
          <w:rFonts w:ascii="Times New Roman" w:hAnsi="Times New Roman" w:cs="Times New Roman"/>
          <w:sz w:val="28"/>
          <w:szCs w:val="28"/>
        </w:rPr>
        <w:t xml:space="preserve">, </w:t>
      </w:r>
      <w:r w:rsidR="006C4413" w:rsidRPr="0040151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0151F">
        <w:rPr>
          <w:rFonts w:ascii="Times New Roman" w:hAnsi="Times New Roman" w:cs="Times New Roman"/>
          <w:sz w:val="28"/>
          <w:szCs w:val="28"/>
        </w:rPr>
        <w:t>активная экспортная деятельность промышленных предприятий округа.</w:t>
      </w:r>
    </w:p>
    <w:p w14:paraId="5A33214A" w14:textId="77777777" w:rsidR="00C952D6" w:rsidRPr="0040151F" w:rsidRDefault="00C952D6" w:rsidP="00C5351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10253" w14:textId="77777777" w:rsidR="00C952D6" w:rsidRPr="0040151F" w:rsidRDefault="00C952D6" w:rsidP="00C5351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1F">
        <w:rPr>
          <w:rFonts w:ascii="Times New Roman" w:hAnsi="Times New Roman" w:cs="Times New Roman"/>
          <w:b/>
          <w:bCs/>
          <w:sz w:val="28"/>
          <w:szCs w:val="28"/>
        </w:rPr>
        <w:t>Развитие социальной сферы</w:t>
      </w:r>
    </w:p>
    <w:p w14:paraId="34132051" w14:textId="10C1E304" w:rsidR="00617631" w:rsidRPr="0057094A" w:rsidRDefault="00E51DCE" w:rsidP="003C0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="009C7893" w:rsidRPr="0040151F">
        <w:rPr>
          <w:rFonts w:ascii="Times New Roman" w:hAnsi="Times New Roman" w:cs="Times New Roman"/>
          <w:sz w:val="28"/>
          <w:szCs w:val="28"/>
        </w:rPr>
        <w:t xml:space="preserve"> 202</w:t>
      </w:r>
      <w:r w:rsidR="00456385">
        <w:rPr>
          <w:rFonts w:ascii="Times New Roman" w:hAnsi="Times New Roman" w:cs="Times New Roman"/>
          <w:sz w:val="28"/>
          <w:szCs w:val="28"/>
        </w:rPr>
        <w:t>4</w:t>
      </w:r>
      <w:r w:rsidR="009C7893" w:rsidRPr="004015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0151F">
        <w:rPr>
          <w:rFonts w:ascii="Times New Roman" w:hAnsi="Times New Roman" w:cs="Times New Roman"/>
          <w:sz w:val="28"/>
          <w:szCs w:val="28"/>
        </w:rPr>
        <w:t>а</w:t>
      </w:r>
      <w:r w:rsidR="009C7893" w:rsidRPr="0040151F">
        <w:rPr>
          <w:rFonts w:ascii="Times New Roman" w:hAnsi="Times New Roman" w:cs="Times New Roman"/>
          <w:sz w:val="28"/>
          <w:szCs w:val="28"/>
        </w:rPr>
        <w:t xml:space="preserve"> в округе проживало </w:t>
      </w:r>
      <w:r w:rsidR="00456385">
        <w:rPr>
          <w:rFonts w:ascii="Times New Roman" w:hAnsi="Times New Roman" w:cs="Times New Roman"/>
          <w:sz w:val="28"/>
          <w:szCs w:val="28"/>
        </w:rPr>
        <w:t>3448</w:t>
      </w:r>
      <w:r w:rsidR="009C7893" w:rsidRPr="0040151F">
        <w:rPr>
          <w:rFonts w:ascii="Times New Roman" w:hAnsi="Times New Roman" w:cs="Times New Roman"/>
          <w:sz w:val="28"/>
          <w:szCs w:val="28"/>
        </w:rPr>
        <w:t xml:space="preserve"> </w:t>
      </w:r>
      <w:r w:rsidR="00C17B9E">
        <w:rPr>
          <w:rFonts w:ascii="Times New Roman" w:hAnsi="Times New Roman" w:cs="Times New Roman"/>
          <w:sz w:val="28"/>
          <w:szCs w:val="28"/>
        </w:rPr>
        <w:t>детей</w:t>
      </w:r>
      <w:r w:rsidR="009C7893" w:rsidRPr="0040151F">
        <w:rPr>
          <w:rFonts w:ascii="Times New Roman" w:hAnsi="Times New Roman" w:cs="Times New Roman"/>
          <w:sz w:val="28"/>
          <w:szCs w:val="28"/>
        </w:rPr>
        <w:t xml:space="preserve"> в возрасте 1 - 6 лет</w:t>
      </w:r>
      <w:r w:rsidR="00550A43" w:rsidRPr="0040151F">
        <w:rPr>
          <w:rFonts w:ascii="Times New Roman" w:hAnsi="Times New Roman" w:cs="Times New Roman"/>
          <w:sz w:val="28"/>
          <w:szCs w:val="28"/>
        </w:rPr>
        <w:t xml:space="preserve">. </w:t>
      </w:r>
      <w:r w:rsidR="00C53515">
        <w:rPr>
          <w:rFonts w:ascii="Times New Roman" w:hAnsi="Times New Roman" w:cs="Times New Roman"/>
          <w:sz w:val="28"/>
          <w:szCs w:val="28"/>
        </w:rPr>
        <w:t xml:space="preserve">При наличии в детских садах 2957 мест обеспеченность </w:t>
      </w:r>
      <w:r w:rsidR="003C0E09">
        <w:rPr>
          <w:rFonts w:ascii="Times New Roman" w:hAnsi="Times New Roman" w:cs="Times New Roman"/>
          <w:sz w:val="28"/>
          <w:szCs w:val="28"/>
        </w:rPr>
        <w:t xml:space="preserve">дошкольными образовательными учреждениями </w:t>
      </w:r>
      <w:r w:rsidR="003C0E09" w:rsidRPr="005B0C33">
        <w:rPr>
          <w:rFonts w:ascii="Times New Roman" w:hAnsi="Times New Roman" w:cs="Times New Roman"/>
          <w:sz w:val="28"/>
          <w:szCs w:val="28"/>
        </w:rPr>
        <w:t>составляет 857 мест в расчете на 1000 детей в возрасте 1 - 6 лет</w:t>
      </w:r>
      <w:r w:rsidR="003C0E09">
        <w:rPr>
          <w:rFonts w:ascii="Times New Roman" w:hAnsi="Times New Roman" w:cs="Times New Roman"/>
          <w:sz w:val="28"/>
          <w:szCs w:val="28"/>
        </w:rPr>
        <w:t xml:space="preserve">. В </w:t>
      </w:r>
      <w:r w:rsidR="00C53515" w:rsidRPr="005B0C33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C53515">
        <w:rPr>
          <w:rFonts w:ascii="Times New Roman" w:hAnsi="Times New Roman" w:cs="Times New Roman"/>
          <w:sz w:val="28"/>
          <w:szCs w:val="28"/>
        </w:rPr>
        <w:t>отсутствует</w:t>
      </w:r>
      <w:r w:rsidR="00C53515" w:rsidRPr="005B0C33">
        <w:rPr>
          <w:rFonts w:ascii="Times New Roman" w:hAnsi="Times New Roman" w:cs="Times New Roman"/>
          <w:sz w:val="28"/>
          <w:szCs w:val="28"/>
        </w:rPr>
        <w:t xml:space="preserve"> проблема доступности дошкольного образования</w:t>
      </w:r>
      <w:r w:rsidR="003C0E09">
        <w:rPr>
          <w:rFonts w:ascii="Times New Roman" w:hAnsi="Times New Roman" w:cs="Times New Roman"/>
          <w:sz w:val="28"/>
          <w:szCs w:val="28"/>
        </w:rPr>
        <w:t xml:space="preserve">, </w:t>
      </w:r>
      <w:r w:rsidR="00C53515">
        <w:rPr>
          <w:rFonts w:ascii="Times New Roman" w:hAnsi="Times New Roman" w:cs="Times New Roman"/>
          <w:sz w:val="28"/>
          <w:szCs w:val="28"/>
        </w:rPr>
        <w:t>п</w:t>
      </w:r>
      <w:r w:rsidR="00C53515" w:rsidRPr="005B0C33">
        <w:rPr>
          <w:rFonts w:ascii="Times New Roman" w:hAnsi="Times New Roman" w:cs="Times New Roman"/>
          <w:sz w:val="28"/>
          <w:szCs w:val="28"/>
        </w:rPr>
        <w:t>о состоянию на 01 октября 2024 года</w:t>
      </w:r>
      <w:r w:rsidR="00C53515">
        <w:rPr>
          <w:rFonts w:ascii="Times New Roman" w:hAnsi="Times New Roman" w:cs="Times New Roman"/>
          <w:sz w:val="28"/>
          <w:szCs w:val="28"/>
        </w:rPr>
        <w:t xml:space="preserve"> детские сады</w:t>
      </w:r>
      <w:r w:rsidR="00C53515" w:rsidRPr="005B0C33">
        <w:rPr>
          <w:rFonts w:ascii="Times New Roman" w:hAnsi="Times New Roman" w:cs="Times New Roman"/>
          <w:sz w:val="28"/>
          <w:szCs w:val="28"/>
        </w:rPr>
        <w:t xml:space="preserve"> посещают 2297 детей</w:t>
      </w:r>
      <w:r w:rsidR="003C0E09">
        <w:rPr>
          <w:rFonts w:ascii="Times New Roman" w:hAnsi="Times New Roman" w:cs="Times New Roman"/>
          <w:sz w:val="28"/>
          <w:szCs w:val="28"/>
        </w:rPr>
        <w:t>, а</w:t>
      </w:r>
      <w:r w:rsidR="00C17B9E" w:rsidRPr="005B0C33">
        <w:rPr>
          <w:rFonts w:ascii="Times New Roman" w:hAnsi="Times New Roman" w:cs="Times New Roman"/>
          <w:sz w:val="28"/>
          <w:szCs w:val="28"/>
        </w:rPr>
        <w:t xml:space="preserve"> </w:t>
      </w:r>
      <w:r w:rsidR="00617631" w:rsidRPr="005B0C33">
        <w:rPr>
          <w:rFonts w:ascii="Times New Roman" w:hAnsi="Times New Roman" w:cs="Times New Roman"/>
          <w:sz w:val="28"/>
          <w:szCs w:val="28"/>
        </w:rPr>
        <w:t>на учете для определения в дошкольные образовательные учреждения состоит 42 ребенка в возрасте от 0 до 1,5 лет</w:t>
      </w:r>
      <w:r w:rsidR="00C17B9E" w:rsidRPr="005B0C33">
        <w:rPr>
          <w:rFonts w:ascii="Times New Roman" w:hAnsi="Times New Roman" w:cs="Times New Roman"/>
          <w:sz w:val="28"/>
          <w:szCs w:val="28"/>
        </w:rPr>
        <w:t>.</w:t>
      </w:r>
      <w:r w:rsidR="00C17B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B8822" w14:textId="038D11D0" w:rsidR="00222ECA" w:rsidRPr="0040151F" w:rsidRDefault="00222ECA" w:rsidP="0040151F">
      <w:pPr>
        <w:pStyle w:val="1"/>
        <w:spacing w:after="0" w:line="240" w:lineRule="auto"/>
        <w:ind w:firstLine="709"/>
        <w:rPr>
          <w:rFonts w:ascii="Times New Roman" w:hAnsi="Times New Roman" w:cs="Times New Roman"/>
        </w:rPr>
      </w:pPr>
      <w:r w:rsidRPr="0057094A">
        <w:rPr>
          <w:rFonts w:ascii="Times New Roman" w:hAnsi="Times New Roman" w:cs="Times New Roman"/>
        </w:rPr>
        <w:t>Для оказания круглосуточной стационарной помощи в ГБУЗ</w:t>
      </w:r>
      <w:r w:rsidRPr="0040151F">
        <w:rPr>
          <w:rFonts w:ascii="Times New Roman" w:hAnsi="Times New Roman" w:cs="Times New Roman"/>
        </w:rPr>
        <w:t xml:space="preserve"> СК «Петровская районная больница» развернуто </w:t>
      </w:r>
      <w:r w:rsidRPr="0040151F">
        <w:rPr>
          <w:rFonts w:ascii="Times New Roman" w:eastAsia="MS Mincho" w:hAnsi="Times New Roman" w:cs="Times New Roman"/>
        </w:rPr>
        <w:t>376</w:t>
      </w:r>
      <w:r w:rsidRPr="0040151F">
        <w:rPr>
          <w:rFonts w:ascii="Times New Roman" w:hAnsi="Times New Roman" w:cs="Times New Roman"/>
        </w:rPr>
        <w:t xml:space="preserve"> коек</w:t>
      </w:r>
      <w:r w:rsidR="00281A86" w:rsidRPr="0040151F">
        <w:rPr>
          <w:rFonts w:ascii="Times New Roman" w:hAnsi="Times New Roman" w:cs="Times New Roman"/>
        </w:rPr>
        <w:t xml:space="preserve"> и 1</w:t>
      </w:r>
      <w:r w:rsidR="00A055CE" w:rsidRPr="0040151F">
        <w:rPr>
          <w:rFonts w:ascii="Times New Roman" w:hAnsi="Times New Roman" w:cs="Times New Roman"/>
        </w:rPr>
        <w:t>10</w:t>
      </w:r>
      <w:r w:rsidR="00281A86" w:rsidRPr="0040151F">
        <w:rPr>
          <w:rFonts w:ascii="Times New Roman" w:hAnsi="Times New Roman" w:cs="Times New Roman"/>
        </w:rPr>
        <w:t xml:space="preserve"> коек дневного стационара</w:t>
      </w:r>
      <w:r w:rsidR="00456385">
        <w:rPr>
          <w:rFonts w:ascii="Times New Roman" w:hAnsi="Times New Roman" w:cs="Times New Roman"/>
        </w:rPr>
        <w:t>, что по оценке составляет</w:t>
      </w:r>
      <w:r w:rsidR="00281A86" w:rsidRPr="0040151F">
        <w:rPr>
          <w:rFonts w:ascii="Times New Roman" w:hAnsi="Times New Roman" w:cs="Times New Roman"/>
        </w:rPr>
        <w:t xml:space="preserve"> </w:t>
      </w:r>
      <w:r w:rsidR="00456385">
        <w:rPr>
          <w:rFonts w:ascii="Times New Roman" w:hAnsi="Times New Roman" w:cs="Times New Roman"/>
        </w:rPr>
        <w:t>71,55</w:t>
      </w:r>
      <w:r w:rsidR="00281A86" w:rsidRPr="0040151F">
        <w:rPr>
          <w:rFonts w:ascii="Times New Roman" w:hAnsi="Times New Roman" w:cs="Times New Roman"/>
        </w:rPr>
        <w:t xml:space="preserve"> коек в расчете на 10,0 тыс. человек.</w:t>
      </w:r>
      <w:r w:rsidR="00A055CE" w:rsidRPr="0040151F">
        <w:rPr>
          <w:rFonts w:ascii="Times New Roman" w:hAnsi="Times New Roman" w:cs="Times New Roman"/>
        </w:rPr>
        <w:t xml:space="preserve"> </w:t>
      </w:r>
    </w:p>
    <w:p w14:paraId="07326FD9" w14:textId="77777777" w:rsidR="00222ECA" w:rsidRPr="0040151F" w:rsidRDefault="00222ECA" w:rsidP="00401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151F">
        <w:rPr>
          <w:rFonts w:ascii="Times New Roman" w:eastAsia="Calibri" w:hAnsi="Times New Roman" w:cs="Times New Roman"/>
          <w:bCs/>
          <w:sz w:val="28"/>
          <w:szCs w:val="28"/>
        </w:rPr>
        <w:t xml:space="preserve">Сеть муниципальных учреждений культуры включает 24 клубных учреждения, 22 библиотеки, 2 музея, детские художественную и музыкальную школы, что соответствует нормативной потребности. </w:t>
      </w:r>
    </w:p>
    <w:p w14:paraId="34F99619" w14:textId="77777777" w:rsidR="00FF73EA" w:rsidRPr="0040151F" w:rsidRDefault="00222ECA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В связи с сохраняющейся негативной динамикой демографических показателей</w:t>
      </w:r>
      <w:r w:rsidR="00281A86" w:rsidRPr="0040151F">
        <w:rPr>
          <w:rFonts w:ascii="Times New Roman" w:hAnsi="Times New Roman" w:cs="Times New Roman"/>
          <w:sz w:val="28"/>
          <w:szCs w:val="28"/>
        </w:rPr>
        <w:t xml:space="preserve"> в прогнозируемом периоде будет отмечаться увеличение расчетных значений показателей, характеризующих обеспеченность населения социальными учреждениями.</w:t>
      </w:r>
    </w:p>
    <w:sectPr w:rsidR="00FF73EA" w:rsidRPr="0040151F" w:rsidSect="00C939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897"/>
    <w:rsid w:val="00002878"/>
    <w:rsid w:val="000060E5"/>
    <w:rsid w:val="000110A9"/>
    <w:rsid w:val="00011927"/>
    <w:rsid w:val="000139B4"/>
    <w:rsid w:val="00024CA3"/>
    <w:rsid w:val="000252A2"/>
    <w:rsid w:val="00035AA1"/>
    <w:rsid w:val="0005409E"/>
    <w:rsid w:val="000571DD"/>
    <w:rsid w:val="0006017A"/>
    <w:rsid w:val="00060FC0"/>
    <w:rsid w:val="0006199D"/>
    <w:rsid w:val="00067132"/>
    <w:rsid w:val="0007171E"/>
    <w:rsid w:val="0007178E"/>
    <w:rsid w:val="00083887"/>
    <w:rsid w:val="000911C6"/>
    <w:rsid w:val="00092D15"/>
    <w:rsid w:val="000A230C"/>
    <w:rsid w:val="000A3003"/>
    <w:rsid w:val="000C1A9A"/>
    <w:rsid w:val="000C230E"/>
    <w:rsid w:val="000C78CB"/>
    <w:rsid w:val="000D4DE9"/>
    <w:rsid w:val="000D58A7"/>
    <w:rsid w:val="000D7DB7"/>
    <w:rsid w:val="000E06D8"/>
    <w:rsid w:val="000E11CB"/>
    <w:rsid w:val="000E2004"/>
    <w:rsid w:val="000F0287"/>
    <w:rsid w:val="000F21A6"/>
    <w:rsid w:val="000F37CA"/>
    <w:rsid w:val="000F58D6"/>
    <w:rsid w:val="00113A97"/>
    <w:rsid w:val="001171CF"/>
    <w:rsid w:val="001246E9"/>
    <w:rsid w:val="00124A34"/>
    <w:rsid w:val="001313AA"/>
    <w:rsid w:val="00133A32"/>
    <w:rsid w:val="00137A62"/>
    <w:rsid w:val="00151D6F"/>
    <w:rsid w:val="00152B70"/>
    <w:rsid w:val="00152F22"/>
    <w:rsid w:val="00162A33"/>
    <w:rsid w:val="001676F2"/>
    <w:rsid w:val="00170D25"/>
    <w:rsid w:val="001746B4"/>
    <w:rsid w:val="00176A66"/>
    <w:rsid w:val="00186AB8"/>
    <w:rsid w:val="0019391B"/>
    <w:rsid w:val="001A0D2F"/>
    <w:rsid w:val="001A28DF"/>
    <w:rsid w:val="001A4BDB"/>
    <w:rsid w:val="001A6197"/>
    <w:rsid w:val="001A6F19"/>
    <w:rsid w:val="001B4D4D"/>
    <w:rsid w:val="001B6333"/>
    <w:rsid w:val="001B7055"/>
    <w:rsid w:val="001C046C"/>
    <w:rsid w:val="001C28A3"/>
    <w:rsid w:val="001C3965"/>
    <w:rsid w:val="001C3D5B"/>
    <w:rsid w:val="001D0D9E"/>
    <w:rsid w:val="001D4C1F"/>
    <w:rsid w:val="001F1122"/>
    <w:rsid w:val="00203141"/>
    <w:rsid w:val="00204F7F"/>
    <w:rsid w:val="002056FA"/>
    <w:rsid w:val="00206B0C"/>
    <w:rsid w:val="00215191"/>
    <w:rsid w:val="002152A7"/>
    <w:rsid w:val="002175D6"/>
    <w:rsid w:val="00222ECA"/>
    <w:rsid w:val="002234E5"/>
    <w:rsid w:val="002268FF"/>
    <w:rsid w:val="002452A0"/>
    <w:rsid w:val="0025355A"/>
    <w:rsid w:val="002555A9"/>
    <w:rsid w:val="00256C01"/>
    <w:rsid w:val="00257851"/>
    <w:rsid w:val="002709F7"/>
    <w:rsid w:val="00272AFE"/>
    <w:rsid w:val="002739F8"/>
    <w:rsid w:val="00276572"/>
    <w:rsid w:val="0028180C"/>
    <w:rsid w:val="00281A86"/>
    <w:rsid w:val="002826E6"/>
    <w:rsid w:val="00287E5E"/>
    <w:rsid w:val="002941F2"/>
    <w:rsid w:val="00294731"/>
    <w:rsid w:val="002A1FC9"/>
    <w:rsid w:val="002A5EB4"/>
    <w:rsid w:val="002C6211"/>
    <w:rsid w:val="002D0D6C"/>
    <w:rsid w:val="002D134E"/>
    <w:rsid w:val="002D4363"/>
    <w:rsid w:val="002D60D7"/>
    <w:rsid w:val="002E251E"/>
    <w:rsid w:val="002E2C89"/>
    <w:rsid w:val="002E3BDE"/>
    <w:rsid w:val="002F4289"/>
    <w:rsid w:val="0030049C"/>
    <w:rsid w:val="00320D49"/>
    <w:rsid w:val="00322FE0"/>
    <w:rsid w:val="0032466F"/>
    <w:rsid w:val="0032786A"/>
    <w:rsid w:val="00327BF7"/>
    <w:rsid w:val="00330A72"/>
    <w:rsid w:val="003431DD"/>
    <w:rsid w:val="00344295"/>
    <w:rsid w:val="00352D0D"/>
    <w:rsid w:val="0035449B"/>
    <w:rsid w:val="00357792"/>
    <w:rsid w:val="003777FE"/>
    <w:rsid w:val="00382498"/>
    <w:rsid w:val="00382B85"/>
    <w:rsid w:val="0039054D"/>
    <w:rsid w:val="0039076E"/>
    <w:rsid w:val="0039268D"/>
    <w:rsid w:val="003A7925"/>
    <w:rsid w:val="003A7C33"/>
    <w:rsid w:val="003B0699"/>
    <w:rsid w:val="003B6941"/>
    <w:rsid w:val="003C0E09"/>
    <w:rsid w:val="003C67B9"/>
    <w:rsid w:val="003C73F8"/>
    <w:rsid w:val="003C7A15"/>
    <w:rsid w:val="003E045C"/>
    <w:rsid w:val="003F63B0"/>
    <w:rsid w:val="0040151F"/>
    <w:rsid w:val="00404338"/>
    <w:rsid w:val="00405A89"/>
    <w:rsid w:val="004064FB"/>
    <w:rsid w:val="00413E3B"/>
    <w:rsid w:val="004219D2"/>
    <w:rsid w:val="004237C4"/>
    <w:rsid w:val="00424925"/>
    <w:rsid w:val="00424C81"/>
    <w:rsid w:val="00427F9E"/>
    <w:rsid w:val="00431D63"/>
    <w:rsid w:val="00442794"/>
    <w:rsid w:val="00443752"/>
    <w:rsid w:val="00445E95"/>
    <w:rsid w:val="00456385"/>
    <w:rsid w:val="004569F6"/>
    <w:rsid w:val="00461D9A"/>
    <w:rsid w:val="004714A6"/>
    <w:rsid w:val="00473FC0"/>
    <w:rsid w:val="00477D60"/>
    <w:rsid w:val="004825C4"/>
    <w:rsid w:val="004919F6"/>
    <w:rsid w:val="004A11AE"/>
    <w:rsid w:val="004A1F36"/>
    <w:rsid w:val="004A24B6"/>
    <w:rsid w:val="004A33F7"/>
    <w:rsid w:val="004A79CD"/>
    <w:rsid w:val="004B7928"/>
    <w:rsid w:val="004C2ED0"/>
    <w:rsid w:val="004C389D"/>
    <w:rsid w:val="004D04DB"/>
    <w:rsid w:val="004D0C6A"/>
    <w:rsid w:val="004D5DC3"/>
    <w:rsid w:val="004D6875"/>
    <w:rsid w:val="004E3A29"/>
    <w:rsid w:val="00500B97"/>
    <w:rsid w:val="00502E8E"/>
    <w:rsid w:val="005208C8"/>
    <w:rsid w:val="00522599"/>
    <w:rsid w:val="00524D3A"/>
    <w:rsid w:val="005263F3"/>
    <w:rsid w:val="00533C6F"/>
    <w:rsid w:val="005364B2"/>
    <w:rsid w:val="005402A8"/>
    <w:rsid w:val="00542F63"/>
    <w:rsid w:val="00544635"/>
    <w:rsid w:val="0054746F"/>
    <w:rsid w:val="00550A43"/>
    <w:rsid w:val="00552565"/>
    <w:rsid w:val="005530A2"/>
    <w:rsid w:val="00556E68"/>
    <w:rsid w:val="00560487"/>
    <w:rsid w:val="005631CE"/>
    <w:rsid w:val="0057094A"/>
    <w:rsid w:val="00572AFE"/>
    <w:rsid w:val="00576B5E"/>
    <w:rsid w:val="005775EA"/>
    <w:rsid w:val="005836BA"/>
    <w:rsid w:val="005863CD"/>
    <w:rsid w:val="0058783E"/>
    <w:rsid w:val="005949B4"/>
    <w:rsid w:val="005A4C03"/>
    <w:rsid w:val="005B0C33"/>
    <w:rsid w:val="005B174D"/>
    <w:rsid w:val="005B55E3"/>
    <w:rsid w:val="005B7EFD"/>
    <w:rsid w:val="005C3BA3"/>
    <w:rsid w:val="005C3BE8"/>
    <w:rsid w:val="005D2FFD"/>
    <w:rsid w:val="005D4E4E"/>
    <w:rsid w:val="005D774D"/>
    <w:rsid w:val="005E0192"/>
    <w:rsid w:val="005E501D"/>
    <w:rsid w:val="005E74E0"/>
    <w:rsid w:val="005F5A8C"/>
    <w:rsid w:val="00604CE3"/>
    <w:rsid w:val="0060790E"/>
    <w:rsid w:val="0061723E"/>
    <w:rsid w:val="00617631"/>
    <w:rsid w:val="0062207D"/>
    <w:rsid w:val="00624204"/>
    <w:rsid w:val="00630184"/>
    <w:rsid w:val="0063120D"/>
    <w:rsid w:val="00642CDC"/>
    <w:rsid w:val="006444D8"/>
    <w:rsid w:val="00652B0A"/>
    <w:rsid w:val="00654E11"/>
    <w:rsid w:val="00660B11"/>
    <w:rsid w:val="00664674"/>
    <w:rsid w:val="00666969"/>
    <w:rsid w:val="00673370"/>
    <w:rsid w:val="00673778"/>
    <w:rsid w:val="006773C3"/>
    <w:rsid w:val="00682DB7"/>
    <w:rsid w:val="00687199"/>
    <w:rsid w:val="006914C5"/>
    <w:rsid w:val="00692098"/>
    <w:rsid w:val="006932E8"/>
    <w:rsid w:val="006946BB"/>
    <w:rsid w:val="006964E1"/>
    <w:rsid w:val="0069667F"/>
    <w:rsid w:val="006A0616"/>
    <w:rsid w:val="006B0750"/>
    <w:rsid w:val="006C0572"/>
    <w:rsid w:val="006C05CC"/>
    <w:rsid w:val="006C33C2"/>
    <w:rsid w:val="006C4413"/>
    <w:rsid w:val="006C71BD"/>
    <w:rsid w:val="006D044E"/>
    <w:rsid w:val="006D42E8"/>
    <w:rsid w:val="006D7F3B"/>
    <w:rsid w:val="006E26C5"/>
    <w:rsid w:val="006F0726"/>
    <w:rsid w:val="00701AC2"/>
    <w:rsid w:val="007021BB"/>
    <w:rsid w:val="00702451"/>
    <w:rsid w:val="00703103"/>
    <w:rsid w:val="00705D4B"/>
    <w:rsid w:val="00710B4D"/>
    <w:rsid w:val="00713D2C"/>
    <w:rsid w:val="007175F4"/>
    <w:rsid w:val="00721481"/>
    <w:rsid w:val="007233CD"/>
    <w:rsid w:val="00725A65"/>
    <w:rsid w:val="00727E3D"/>
    <w:rsid w:val="00742896"/>
    <w:rsid w:val="00746483"/>
    <w:rsid w:val="00747C81"/>
    <w:rsid w:val="007528D5"/>
    <w:rsid w:val="007566C0"/>
    <w:rsid w:val="00756E2F"/>
    <w:rsid w:val="00765E30"/>
    <w:rsid w:val="00765EA0"/>
    <w:rsid w:val="0076689C"/>
    <w:rsid w:val="007678CF"/>
    <w:rsid w:val="00767A0B"/>
    <w:rsid w:val="00771C90"/>
    <w:rsid w:val="0077409F"/>
    <w:rsid w:val="0077466A"/>
    <w:rsid w:val="0077534E"/>
    <w:rsid w:val="007769E1"/>
    <w:rsid w:val="00782453"/>
    <w:rsid w:val="0078303E"/>
    <w:rsid w:val="007858A8"/>
    <w:rsid w:val="007931DA"/>
    <w:rsid w:val="00793849"/>
    <w:rsid w:val="007949E8"/>
    <w:rsid w:val="007956CA"/>
    <w:rsid w:val="007A1D2A"/>
    <w:rsid w:val="007A2C04"/>
    <w:rsid w:val="007A76BC"/>
    <w:rsid w:val="007B2240"/>
    <w:rsid w:val="007B6FD0"/>
    <w:rsid w:val="007B70CB"/>
    <w:rsid w:val="007B7F3D"/>
    <w:rsid w:val="007C01F6"/>
    <w:rsid w:val="007C0A3B"/>
    <w:rsid w:val="007C36D3"/>
    <w:rsid w:val="007D0018"/>
    <w:rsid w:val="007D3ED8"/>
    <w:rsid w:val="00811FA0"/>
    <w:rsid w:val="0081319D"/>
    <w:rsid w:val="00824828"/>
    <w:rsid w:val="008278DA"/>
    <w:rsid w:val="008310DC"/>
    <w:rsid w:val="00837E88"/>
    <w:rsid w:val="00843854"/>
    <w:rsid w:val="00845748"/>
    <w:rsid w:val="008463CF"/>
    <w:rsid w:val="008506F9"/>
    <w:rsid w:val="00851BDA"/>
    <w:rsid w:val="00852FA4"/>
    <w:rsid w:val="00864ED3"/>
    <w:rsid w:val="00873E96"/>
    <w:rsid w:val="008750FF"/>
    <w:rsid w:val="00881B77"/>
    <w:rsid w:val="008820D2"/>
    <w:rsid w:val="008843C5"/>
    <w:rsid w:val="008845E6"/>
    <w:rsid w:val="008861D7"/>
    <w:rsid w:val="008939DA"/>
    <w:rsid w:val="008979EE"/>
    <w:rsid w:val="008A0887"/>
    <w:rsid w:val="008A0E2A"/>
    <w:rsid w:val="008A5967"/>
    <w:rsid w:val="008B024C"/>
    <w:rsid w:val="008B6214"/>
    <w:rsid w:val="008C556D"/>
    <w:rsid w:val="008E0049"/>
    <w:rsid w:val="008E50C2"/>
    <w:rsid w:val="008F1BA7"/>
    <w:rsid w:val="008F5FC6"/>
    <w:rsid w:val="00906655"/>
    <w:rsid w:val="00906DE3"/>
    <w:rsid w:val="00910588"/>
    <w:rsid w:val="0091299E"/>
    <w:rsid w:val="00924A8C"/>
    <w:rsid w:val="00931F6F"/>
    <w:rsid w:val="00932142"/>
    <w:rsid w:val="0093710B"/>
    <w:rsid w:val="0093785D"/>
    <w:rsid w:val="00942D8A"/>
    <w:rsid w:val="00943CF2"/>
    <w:rsid w:val="0095278A"/>
    <w:rsid w:val="00952ED9"/>
    <w:rsid w:val="0096555F"/>
    <w:rsid w:val="00966531"/>
    <w:rsid w:val="00977FC2"/>
    <w:rsid w:val="0098624D"/>
    <w:rsid w:val="00987B93"/>
    <w:rsid w:val="0099765B"/>
    <w:rsid w:val="009B1CCB"/>
    <w:rsid w:val="009B2B9D"/>
    <w:rsid w:val="009C7893"/>
    <w:rsid w:val="009D2F9B"/>
    <w:rsid w:val="009D7C83"/>
    <w:rsid w:val="009E2174"/>
    <w:rsid w:val="009E6104"/>
    <w:rsid w:val="009E7222"/>
    <w:rsid w:val="009F0092"/>
    <w:rsid w:val="009F5533"/>
    <w:rsid w:val="00A03BAB"/>
    <w:rsid w:val="00A055CE"/>
    <w:rsid w:val="00A0743B"/>
    <w:rsid w:val="00A21FFF"/>
    <w:rsid w:val="00A24FC3"/>
    <w:rsid w:val="00A3097B"/>
    <w:rsid w:val="00A30FF9"/>
    <w:rsid w:val="00A3140F"/>
    <w:rsid w:val="00A368E4"/>
    <w:rsid w:val="00A369E2"/>
    <w:rsid w:val="00A4617B"/>
    <w:rsid w:val="00A51D06"/>
    <w:rsid w:val="00A528BC"/>
    <w:rsid w:val="00A62999"/>
    <w:rsid w:val="00A63250"/>
    <w:rsid w:val="00A63DFE"/>
    <w:rsid w:val="00A6441E"/>
    <w:rsid w:val="00A7006B"/>
    <w:rsid w:val="00A75ED8"/>
    <w:rsid w:val="00A8283C"/>
    <w:rsid w:val="00A83576"/>
    <w:rsid w:val="00A85DAE"/>
    <w:rsid w:val="00A87652"/>
    <w:rsid w:val="00A926D8"/>
    <w:rsid w:val="00AA0C75"/>
    <w:rsid w:val="00AB18D7"/>
    <w:rsid w:val="00AB1F25"/>
    <w:rsid w:val="00AB2A5A"/>
    <w:rsid w:val="00AB4F6E"/>
    <w:rsid w:val="00AC5394"/>
    <w:rsid w:val="00AC635A"/>
    <w:rsid w:val="00AD315E"/>
    <w:rsid w:val="00AD5E7D"/>
    <w:rsid w:val="00AE2ADF"/>
    <w:rsid w:val="00AE52A9"/>
    <w:rsid w:val="00AF2899"/>
    <w:rsid w:val="00AF3FCF"/>
    <w:rsid w:val="00AF4919"/>
    <w:rsid w:val="00B005E1"/>
    <w:rsid w:val="00B06DE9"/>
    <w:rsid w:val="00B12359"/>
    <w:rsid w:val="00B137F5"/>
    <w:rsid w:val="00B152A8"/>
    <w:rsid w:val="00B16E7A"/>
    <w:rsid w:val="00B230B8"/>
    <w:rsid w:val="00B24FD6"/>
    <w:rsid w:val="00B30E72"/>
    <w:rsid w:val="00B31A79"/>
    <w:rsid w:val="00B32446"/>
    <w:rsid w:val="00B34F33"/>
    <w:rsid w:val="00B35E2E"/>
    <w:rsid w:val="00B42AAF"/>
    <w:rsid w:val="00B46080"/>
    <w:rsid w:val="00B4751E"/>
    <w:rsid w:val="00B55E5C"/>
    <w:rsid w:val="00B61DCF"/>
    <w:rsid w:val="00B62F35"/>
    <w:rsid w:val="00B6311E"/>
    <w:rsid w:val="00B67AF3"/>
    <w:rsid w:val="00B808E4"/>
    <w:rsid w:val="00B91657"/>
    <w:rsid w:val="00B91EA7"/>
    <w:rsid w:val="00B942ED"/>
    <w:rsid w:val="00B978D6"/>
    <w:rsid w:val="00BA489E"/>
    <w:rsid w:val="00BA4E18"/>
    <w:rsid w:val="00BB257A"/>
    <w:rsid w:val="00BC38B7"/>
    <w:rsid w:val="00BC4897"/>
    <w:rsid w:val="00BC507E"/>
    <w:rsid w:val="00BC6024"/>
    <w:rsid w:val="00BD1B41"/>
    <w:rsid w:val="00BD2BD4"/>
    <w:rsid w:val="00BE3676"/>
    <w:rsid w:val="00BE6977"/>
    <w:rsid w:val="00BF01EB"/>
    <w:rsid w:val="00BF5A3E"/>
    <w:rsid w:val="00BF5ACB"/>
    <w:rsid w:val="00C0218A"/>
    <w:rsid w:val="00C035FA"/>
    <w:rsid w:val="00C12028"/>
    <w:rsid w:val="00C12860"/>
    <w:rsid w:val="00C17B9E"/>
    <w:rsid w:val="00C20146"/>
    <w:rsid w:val="00C2457F"/>
    <w:rsid w:val="00C269F2"/>
    <w:rsid w:val="00C41185"/>
    <w:rsid w:val="00C4418B"/>
    <w:rsid w:val="00C45C09"/>
    <w:rsid w:val="00C46207"/>
    <w:rsid w:val="00C477E6"/>
    <w:rsid w:val="00C47850"/>
    <w:rsid w:val="00C52687"/>
    <w:rsid w:val="00C53515"/>
    <w:rsid w:val="00C6716B"/>
    <w:rsid w:val="00C7752B"/>
    <w:rsid w:val="00C82A9D"/>
    <w:rsid w:val="00C939E8"/>
    <w:rsid w:val="00C952D6"/>
    <w:rsid w:val="00C96A29"/>
    <w:rsid w:val="00CA023E"/>
    <w:rsid w:val="00CA0B50"/>
    <w:rsid w:val="00CA57C5"/>
    <w:rsid w:val="00CB3703"/>
    <w:rsid w:val="00CB4ED6"/>
    <w:rsid w:val="00CC1047"/>
    <w:rsid w:val="00CC182A"/>
    <w:rsid w:val="00CC3A79"/>
    <w:rsid w:val="00CD14FA"/>
    <w:rsid w:val="00CE0020"/>
    <w:rsid w:val="00CE114E"/>
    <w:rsid w:val="00CE3F47"/>
    <w:rsid w:val="00CE4949"/>
    <w:rsid w:val="00CE7AED"/>
    <w:rsid w:val="00CF2E7E"/>
    <w:rsid w:val="00CF487F"/>
    <w:rsid w:val="00D019C6"/>
    <w:rsid w:val="00D01F14"/>
    <w:rsid w:val="00D02B53"/>
    <w:rsid w:val="00D03274"/>
    <w:rsid w:val="00D04760"/>
    <w:rsid w:val="00D06B09"/>
    <w:rsid w:val="00D2642A"/>
    <w:rsid w:val="00D35AAC"/>
    <w:rsid w:val="00D35ACD"/>
    <w:rsid w:val="00D402BC"/>
    <w:rsid w:val="00D44AEE"/>
    <w:rsid w:val="00D47DAD"/>
    <w:rsid w:val="00D54B95"/>
    <w:rsid w:val="00D54EF6"/>
    <w:rsid w:val="00D6315C"/>
    <w:rsid w:val="00D71AA7"/>
    <w:rsid w:val="00D81D55"/>
    <w:rsid w:val="00D9121B"/>
    <w:rsid w:val="00D923E7"/>
    <w:rsid w:val="00D934AE"/>
    <w:rsid w:val="00D948C4"/>
    <w:rsid w:val="00D955EB"/>
    <w:rsid w:val="00D96793"/>
    <w:rsid w:val="00D97E3C"/>
    <w:rsid w:val="00DA26C2"/>
    <w:rsid w:val="00DB31BA"/>
    <w:rsid w:val="00DB4D16"/>
    <w:rsid w:val="00DB4E59"/>
    <w:rsid w:val="00DB71FF"/>
    <w:rsid w:val="00DC5D3E"/>
    <w:rsid w:val="00DD1DEB"/>
    <w:rsid w:val="00DD7BE5"/>
    <w:rsid w:val="00DE35D1"/>
    <w:rsid w:val="00DE4BF2"/>
    <w:rsid w:val="00DE7127"/>
    <w:rsid w:val="00DF0969"/>
    <w:rsid w:val="00DF7B3F"/>
    <w:rsid w:val="00E103BF"/>
    <w:rsid w:val="00E11629"/>
    <w:rsid w:val="00E24B8A"/>
    <w:rsid w:val="00E25874"/>
    <w:rsid w:val="00E33448"/>
    <w:rsid w:val="00E40320"/>
    <w:rsid w:val="00E51DCE"/>
    <w:rsid w:val="00E52724"/>
    <w:rsid w:val="00E53899"/>
    <w:rsid w:val="00E57519"/>
    <w:rsid w:val="00E62A9E"/>
    <w:rsid w:val="00E63C31"/>
    <w:rsid w:val="00E6774F"/>
    <w:rsid w:val="00E74B29"/>
    <w:rsid w:val="00E778FA"/>
    <w:rsid w:val="00E93342"/>
    <w:rsid w:val="00E97A94"/>
    <w:rsid w:val="00EA0DEC"/>
    <w:rsid w:val="00EA322D"/>
    <w:rsid w:val="00EA5D0B"/>
    <w:rsid w:val="00EA6830"/>
    <w:rsid w:val="00EA775E"/>
    <w:rsid w:val="00EB0E9E"/>
    <w:rsid w:val="00EC1852"/>
    <w:rsid w:val="00EC2C10"/>
    <w:rsid w:val="00EC577B"/>
    <w:rsid w:val="00ED1D18"/>
    <w:rsid w:val="00ED6137"/>
    <w:rsid w:val="00EF2424"/>
    <w:rsid w:val="00EF7063"/>
    <w:rsid w:val="00F03587"/>
    <w:rsid w:val="00F114A1"/>
    <w:rsid w:val="00F21EA6"/>
    <w:rsid w:val="00F2202F"/>
    <w:rsid w:val="00F24491"/>
    <w:rsid w:val="00F264D3"/>
    <w:rsid w:val="00F30BE3"/>
    <w:rsid w:val="00F32BB4"/>
    <w:rsid w:val="00F4018F"/>
    <w:rsid w:val="00F419C0"/>
    <w:rsid w:val="00F478DA"/>
    <w:rsid w:val="00F50711"/>
    <w:rsid w:val="00F52213"/>
    <w:rsid w:val="00F57945"/>
    <w:rsid w:val="00F57C77"/>
    <w:rsid w:val="00F6187F"/>
    <w:rsid w:val="00F62149"/>
    <w:rsid w:val="00F64D08"/>
    <w:rsid w:val="00F74C9F"/>
    <w:rsid w:val="00F80046"/>
    <w:rsid w:val="00F84125"/>
    <w:rsid w:val="00F9058D"/>
    <w:rsid w:val="00F9414E"/>
    <w:rsid w:val="00F96BF2"/>
    <w:rsid w:val="00F97E8B"/>
    <w:rsid w:val="00FA0933"/>
    <w:rsid w:val="00FA7114"/>
    <w:rsid w:val="00FB2685"/>
    <w:rsid w:val="00FB331E"/>
    <w:rsid w:val="00FB6F5D"/>
    <w:rsid w:val="00FB76CA"/>
    <w:rsid w:val="00FC09B1"/>
    <w:rsid w:val="00FC7B67"/>
    <w:rsid w:val="00FD01CF"/>
    <w:rsid w:val="00FD3A5E"/>
    <w:rsid w:val="00FE4DF3"/>
    <w:rsid w:val="00FF267C"/>
    <w:rsid w:val="00FF3010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8D128"/>
  <w15:docId w15:val="{089F68E8-D45B-438C-84A3-52295DD6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uiPriority w:val="99"/>
    <w:rsid w:val="00660B11"/>
    <w:pPr>
      <w:spacing w:before="120" w:after="120" w:line="360" w:lineRule="exact"/>
      <w:ind w:firstLine="709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aliases w:val="bt Знак"/>
    <w:basedOn w:val="a0"/>
    <w:link w:val="a3"/>
    <w:uiPriority w:val="99"/>
    <w:rsid w:val="00660B11"/>
    <w:rPr>
      <w:rFonts w:ascii="Times New Roman" w:eastAsia="Calibri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256C0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6C01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94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43CF2"/>
    <w:rPr>
      <w:color w:val="0000FF"/>
      <w:u w:val="single"/>
    </w:rPr>
  </w:style>
  <w:style w:type="paragraph" w:styleId="a7">
    <w:name w:val="No Spacing"/>
    <w:uiPriority w:val="1"/>
    <w:qFormat/>
    <w:rsid w:val="00B67AF3"/>
    <w:pPr>
      <w:suppressAutoHyphens/>
      <w:spacing w:after="0" w:line="240" w:lineRule="auto"/>
    </w:pPr>
  </w:style>
  <w:style w:type="paragraph" w:customStyle="1" w:styleId="ConsPlusNormal">
    <w:name w:val="ConsPlusNormal"/>
    <w:uiPriority w:val="99"/>
    <w:qFormat/>
    <w:rsid w:val="00C671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2941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rsid w:val="009F5533"/>
    <w:pPr>
      <w:tabs>
        <w:tab w:val="left" w:pos="709"/>
      </w:tabs>
      <w:suppressAutoHyphens/>
      <w:spacing w:beforeAutospacing="1" w:after="142" w:line="227" w:lineRule="exact"/>
      <w:ind w:firstLine="72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1">
    <w:name w:val="Обычный1"/>
    <w:rsid w:val="00222ECA"/>
    <w:pPr>
      <w:tabs>
        <w:tab w:val="left" w:pos="709"/>
      </w:tabs>
      <w:suppressAutoHyphens/>
      <w:ind w:firstLine="720"/>
      <w:jc w:val="both"/>
    </w:pPr>
    <w:rPr>
      <w:rFonts w:ascii="Courier New CYR" w:eastAsia="Calibri" w:hAnsi="Courier New CYR" w:cs="Courier New CYR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ACD6-CEF1-4F3A-9663-2C56DF85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8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Кириленко Лариса Васильевна</cp:lastModifiedBy>
  <cp:revision>205</cp:revision>
  <cp:lastPrinted>2024-10-30T06:39:00Z</cp:lastPrinted>
  <dcterms:created xsi:type="dcterms:W3CDTF">2022-10-28T13:26:00Z</dcterms:created>
  <dcterms:modified xsi:type="dcterms:W3CDTF">2024-10-30T07:46:00Z</dcterms:modified>
</cp:coreProperties>
</file>