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</w:pPr>
      <w:r>
        <w:rPr>
          <w:sz w:val="28"/>
          <w:szCs w:val="28"/>
        </w:rPr>
        <w:t xml:space="preserve">Настоящим 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«</w:t>
      </w:r>
      <w:r>
        <w:rPr>
          <w:sz w:val="28"/>
        </w:rPr>
        <w:t xml:space="preserve">Об утверждении Положения </w:t>
      </w:r>
      <w:bookmarkStart w:id="0" w:name="_Hlk182905897"/>
      <w:r>
        <w:rPr>
          <w:sz w:val="28"/>
        </w:rPr>
        <w:t xml:space="preserve">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муниципального округа Ставропольского края</w:t>
      </w:r>
      <w:bookmarkEnd w:id="0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соответствие его антимонопольному законодательству.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могут быть представлены любым из удобных способов: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бумажном носителе почтой по адресу: Ставропольский край, Петровский район, город Светлоград, ул. Ленина, 29;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r>
        <w:rPr>
          <w:sz w:val="28"/>
          <w:szCs w:val="28"/>
        </w:rPr>
        <w:t xml:space="preserve">obrazovanie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petrgosk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факсу: 886547 4-03-05.</w:t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Сроки прие</w:t>
      </w:r>
      <w:r>
        <w:rPr>
          <w:sz w:val="28"/>
          <w:szCs w:val="28"/>
        </w:rPr>
        <w:t xml:space="preserve">ма предложений и замечаний: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 по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hyperlink r:id="rId8" w:tooltip="https://petrovskij-r07.gosweb.gosuslugi.ru/ofitsialno/ekonomika/antimonopolnyy-komplaens/monitoring-proektov-normativnyh-pravovyh-aktov/proekty-2024-god/proekty-noyabr-2024-g/" w:history="1">
        <w:r>
          <w:rPr>
            <w:rStyle w:val="634"/>
            <w:sz w:val="28"/>
            <w:szCs w:val="28"/>
            <w:highlight w:val="none"/>
          </w:rPr>
          <w:t xml:space="preserve">https://petrovskij-r07.gosweb.gosuslugi.ru/ofitsialno/ekonomika/antimonopolnyy-komplaens/monitoring-proektov-normativnyh-pravovyh-aktov/proekty-2024-god/proekty-noyabr-2024-g/</w:t>
        </w:r>
        <w:r>
          <w:rPr>
            <w:rStyle w:val="634"/>
            <w:sz w:val="28"/>
            <w:szCs w:val="28"/>
            <w:highlight w:val="none"/>
          </w:rPr>
        </w:r>
        <w:r>
          <w:rPr>
            <w:rStyle w:val="634"/>
            <w:sz w:val="28"/>
            <w:szCs w:val="28"/>
            <w:highlight w:val="none"/>
          </w:rPr>
        </w:r>
      </w:hyperlink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се поступившие предложения и з</w:t>
      </w:r>
      <w:r>
        <w:rPr>
          <w:sz w:val="28"/>
          <w:szCs w:val="28"/>
        </w:rPr>
        <w:t xml:space="preserve">амечания будут рассмотрены до </w:t>
      </w:r>
      <w:r>
        <w:rPr>
          <w:sz w:val="28"/>
          <w:szCs w:val="28"/>
        </w:rPr>
        <w:t xml:space="preserve">29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прилагаются: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Анкета для участников публичных консультаций.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«</w:t>
      </w:r>
      <w:r>
        <w:rPr>
          <w:sz w:val="28"/>
        </w:rPr>
        <w:t xml:space="preserve">Об утверждении Положения </w:t>
      </w:r>
      <w:r>
        <w:rPr>
          <w:sz w:val="28"/>
        </w:rPr>
        <w:t xml:space="preserve">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муниципального округа Ставропольского края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об ответственном лице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для </w:t>
      </w:r>
      <w:r>
        <w:rPr>
          <w:sz w:val="28"/>
          <w:szCs w:val="28"/>
        </w:rPr>
        <w:t xml:space="preserve">представления участниками публичных консультаций своих предложений и замечаний:</w:t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Ф.И.О., должность </w:t>
      </w:r>
      <w:r>
        <w:rPr>
          <w:sz w:val="28"/>
          <w:szCs w:val="28"/>
        </w:rPr>
        <w:t xml:space="preserve">- Павлова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Ирина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Федоровна, ведущий специалист</w:t>
      </w:r>
      <w:r>
        <w:rPr>
          <w:sz w:val="28"/>
          <w:szCs w:val="28"/>
        </w:rPr>
        <w:t xml:space="preserve"> отдела образования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Тел.</w:t>
      </w:r>
      <w:r>
        <w:rPr>
          <w:sz w:val="28"/>
          <w:szCs w:val="28"/>
        </w:rPr>
        <w:t xml:space="preserve"> (886547)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4-03-07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Факс (86547) 4-03-05.</w:t>
      </w:r>
      <w:r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Droid Sans Devanagari">
    <w:panose1 w:val="020B0606030804020204"/>
  </w:font>
  <w:font w:name="DejaVu Sans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character" w:styleId="47">
    <w:name w:val="Caption Char"/>
    <w:basedOn w:val="632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Интернет-ссылка"/>
    <w:basedOn w:val="618"/>
    <w:uiPriority w:val="99"/>
    <w:unhideWhenUsed/>
    <w:rPr>
      <w:color w:val="0000ff"/>
      <w:u w:val="single"/>
    </w:rPr>
  </w:style>
  <w:style w:type="character" w:styleId="622" w:customStyle="1">
    <w:name w:val="ListLabel 1"/>
    <w:qFormat/>
    <w:rPr>
      <w:sz w:val="28"/>
      <w:szCs w:val="28"/>
    </w:rPr>
  </w:style>
  <w:style w:type="character" w:styleId="623" w:customStyle="1">
    <w:name w:val="ListLabel 2"/>
    <w:qFormat/>
    <w:rPr>
      <w:sz w:val="28"/>
      <w:szCs w:val="28"/>
    </w:rPr>
  </w:style>
  <w:style w:type="character" w:styleId="624" w:customStyle="1">
    <w:name w:val="ListLabel 3"/>
    <w:qFormat/>
    <w:rPr>
      <w:sz w:val="28"/>
      <w:szCs w:val="28"/>
    </w:rPr>
  </w:style>
  <w:style w:type="character" w:styleId="625" w:customStyle="1">
    <w:name w:val="ListLabel 4"/>
    <w:qFormat/>
    <w:rPr>
      <w:sz w:val="28"/>
      <w:szCs w:val="28"/>
    </w:rPr>
  </w:style>
  <w:style w:type="character" w:styleId="626" w:customStyle="1">
    <w:name w:val="ListLabel 5"/>
    <w:qFormat/>
    <w:rPr>
      <w:sz w:val="28"/>
      <w:szCs w:val="28"/>
    </w:rPr>
  </w:style>
  <w:style w:type="character" w:styleId="627" w:customStyle="1">
    <w:name w:val="ListLabel 6"/>
    <w:qFormat/>
    <w:rPr>
      <w:sz w:val="28"/>
      <w:szCs w:val="28"/>
    </w:rPr>
  </w:style>
  <w:style w:type="character" w:styleId="628" w:customStyle="1">
    <w:name w:val="ListLabel 7"/>
    <w:qFormat/>
    <w:rPr>
      <w:sz w:val="28"/>
      <w:szCs w:val="28"/>
    </w:rPr>
  </w:style>
  <w:style w:type="paragraph" w:styleId="629" w:customStyle="1">
    <w:name w:val="Заголовок1"/>
    <w:basedOn w:val="617"/>
    <w:next w:val="630"/>
    <w:qFormat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630">
    <w:name w:val="Body Text"/>
    <w:basedOn w:val="617"/>
    <w:pPr>
      <w:spacing w:after="140" w:line="276" w:lineRule="auto"/>
    </w:pPr>
  </w:style>
  <w:style w:type="paragraph" w:styleId="631">
    <w:name w:val="List"/>
    <w:basedOn w:val="630"/>
    <w:rPr>
      <w:rFonts w:cs="Droid Sans Devanagari"/>
    </w:rPr>
  </w:style>
  <w:style w:type="paragraph" w:styleId="632">
    <w:name w:val="Caption"/>
    <w:basedOn w:val="617"/>
    <w:qFormat/>
    <w:pPr>
      <w:spacing w:before="120" w:after="120"/>
      <w:suppressLineNumbers/>
    </w:pPr>
    <w:rPr>
      <w:rFonts w:cs="Droid Sans Devanagari"/>
      <w:i/>
      <w:iCs/>
    </w:rPr>
  </w:style>
  <w:style w:type="paragraph" w:styleId="633">
    <w:name w:val="index heading"/>
    <w:basedOn w:val="617"/>
    <w:qFormat/>
    <w:pPr>
      <w:suppressLineNumbers/>
    </w:pPr>
    <w:rPr>
      <w:rFonts w:cs="Droid Sans Devanagari"/>
    </w:rPr>
  </w:style>
  <w:style w:type="character" w:styleId="634">
    <w:name w:val="Hyperlink"/>
    <w:basedOn w:val="61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petrovskij-r07.gosweb.gosuslugi.ru/ofitsialno/ekonomika/antimonopolnyy-komplaens/monitoring-proektov-normativnyh-pravovyh-aktov/proekty-2024-god/proekty-noyabr-2024-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dc:language>ru-RU</dc:language>
  <cp:revision>37</cp:revision>
  <dcterms:created xsi:type="dcterms:W3CDTF">2020-03-11T13:35:00Z</dcterms:created>
  <dcterms:modified xsi:type="dcterms:W3CDTF">2024-11-19T12:27:37Z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