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861"/>
      </w:tblGrid>
      <w:tr>
        <w:trPr/>
        <w:tc>
          <w:tcPr>
            <w:tcW w:w="38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</w:p>
        </w:tc>
      </w:tr>
      <w:tr>
        <w:trPr>
          <w:trHeight w:val="1210"/>
        </w:trPr>
        <w:tc>
          <w:tcPr>
            <w:tcW w:w="38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ind w:righ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прогнозу социально-экономического развития Петровского муниципального округа Ставропольского края на период до 203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ПОЯСНИТЕЛЬНАЯ ЗАПИСКА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прогнозу </w:t>
      </w:r>
      <w:r>
        <w:rPr>
          <w:sz w:val="28"/>
          <w:szCs w:val="28"/>
        </w:rPr>
        <w:t xml:space="preserve">социально-экономического развития </w:t>
      </w:r>
    </w:p>
    <w:p>
      <w:pPr>
        <w:pStyle w:val="Normal"/>
        <w:spacing w:line="240" w:lineRule="exact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Ставропольского края на период           до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Петровского муниципального округа Ставропольского края на период до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 (далее соответственно – прогноз, округ) разработан на основе анализа тенденций развития экономики округа за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- 20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годы и 9 месяцев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а также в соответствии с материалами Министерства экономического развития Российской Федерации, данными Управления Федеральной службы государственной статистики по Северо-Кавказскому Федеральному округу, показателями, представленными предприятиями и организациями, осуществляющими деятельность на территории Петровского муниципального округа Ставропольского края, с учетом сложившихся тенденций развития экономики и основных положений </w:t>
      </w:r>
      <w:r>
        <w:rPr>
          <w:sz w:val="28"/>
          <w:szCs w:val="28"/>
        </w:rPr>
        <w:t xml:space="preserve">Указ Президента Российской Федерации от 07 мая 2024 г. № 309</w:t>
      </w:r>
      <w:r>
        <w:rPr>
          <w:sz w:val="28"/>
          <w:szCs w:val="28"/>
        </w:rPr>
        <w:t xml:space="preserve"> «О национальных целях развития Российской Федерации на период до 2030 года и на перспективу до 2036 года».</w:t>
      </w:r>
    </w:p>
    <w:p>
      <w:pPr>
        <w:pStyle w:val="BodyText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Прогноз разработан </w:t>
      </w:r>
      <w:r>
        <w:rPr>
          <w:sz w:val="28"/>
          <w:szCs w:val="28"/>
        </w:rPr>
        <w:t xml:space="preserve">в трех вариантах: консервативный, базовый и целевой. Различие вариантов обусловлено отличием моделей поведения субъектов предпринимательской деятельности, перспективами повышения конкурентоспособности и эффективности производства основных видов продукции, складывающейся демографической ситуацией.</w:t>
      </w:r>
    </w:p>
    <w:p>
      <w:pPr>
        <w:pStyle w:val="BodyText"/>
        <w:spacing w:before="0"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Консервативный вариант предполагает сохранение экономической неопределенности, снижение темпов роста объемов инвестиций (в сопоставимых ценах), сокращение численности населения округа. </w:t>
      </w:r>
      <w:r>
        <w:rPr>
          <w:rFonts w:eastAsia="Times New Roman"/>
          <w:sz w:val="28"/>
          <w:szCs w:val="28"/>
        </w:rPr>
      </w:r>
    </w:p>
    <w:p>
      <w:pPr>
        <w:pStyle w:val="BodyText"/>
        <w:spacing w:before="0"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целевом варианте учтены более высокие темпы социально-</w:t>
      </w:r>
      <w:r>
        <w:rPr>
          <w:sz w:val="28"/>
          <w:szCs w:val="28"/>
        </w:rPr>
        <w:t xml:space="preserve">экономического </w:t>
      </w:r>
      <w:r>
        <w:rPr>
          <w:rFonts w:eastAsia="Times New Roman"/>
          <w:sz w:val="28"/>
          <w:szCs w:val="28"/>
        </w:rPr>
        <w:t xml:space="preserve">развития экономики округа при наиболее вероятных внешнеэкономических и других условиях:</w:t>
      </w:r>
      <w:r>
        <w:rPr>
          <w:sz w:val="28"/>
          <w:szCs w:val="28"/>
        </w:rPr>
        <w:t xml:space="preserve"> активное развитие </w:t>
      </w:r>
      <w:r>
        <w:rPr>
          <w:sz w:val="28"/>
          <w:szCs w:val="28"/>
          <w:lang w:eastAsia="en-US"/>
        </w:rPr>
        <w:t xml:space="preserve">основных отраслей промышленности и сельского хозяйства, увеличение объемов инвестиций, развитие социальной инфраструктуры,</w:t>
      </w:r>
      <w:r>
        <w:rPr>
          <w:sz w:val="28"/>
          <w:szCs w:val="28"/>
        </w:rPr>
        <w:t xml:space="preserve"> стабилизация естественного и миграционного движения населения.</w:t>
      </w:r>
      <w:r>
        <w:rPr>
          <w:rFonts w:eastAsia="Times New Roman"/>
          <w:sz w:val="28"/>
          <w:szCs w:val="28"/>
        </w:rPr>
      </w:r>
    </w:p>
    <w:p>
      <w:pPr>
        <w:pStyle w:val="BodyText"/>
        <w:spacing w:before="0"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Базовый вариант предполагает рост</w:t>
      </w:r>
      <w:r>
        <w:rPr>
          <w:sz w:val="28"/>
          <w:szCs w:val="28"/>
        </w:rPr>
        <w:t xml:space="preserve"> темпов производства по основным видам экономической деятельности</w:t>
      </w:r>
      <w:r>
        <w:rPr>
          <w:rFonts w:eastAsia="Times New Roman"/>
          <w:sz w:val="28"/>
          <w:szCs w:val="28"/>
        </w:rPr>
        <w:t xml:space="preserve">, более активную инвестиционную политику </w:t>
      </w:r>
      <w:r>
        <w:rPr>
          <w:sz w:val="28"/>
          <w:szCs w:val="28"/>
        </w:rPr>
        <w:t xml:space="preserve">хозяйствующих субъектов, увеличение покупательского спроса, снижение уровня регистрируемой безработицы, стабилизацию демографической ситуации. </w:t>
      </w:r>
      <w:r>
        <w:rPr>
          <w:rFonts w:eastAsia="Times New Roman"/>
          <w:sz w:val="28"/>
          <w:szCs w:val="28"/>
        </w:rPr>
        <w:t xml:space="preserve">Базовый сценарий социально-экономического развития округа является наиболее вероятным.</w:t>
      </w:r>
      <w:r>
        <w:rPr>
          <w:sz w:val="28"/>
          <w:szCs w:val="28"/>
        </w:rPr>
      </w:r>
    </w:p>
    <w:p>
      <w:pPr>
        <w:pStyle w:val="UserStyle_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к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ожидается стабилизация общего коэффициента рождаемости населения округа в пределах 8,9 человека на 1 тыс. населения округа и снижение уровня общего коэффициента смертности населения округа до 12,7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человека на 1 тыс. населения округа. Э</w:t>
      </w:r>
      <w:r>
        <w:rPr>
          <w:sz w:val="28"/>
          <w:szCs w:val="28"/>
        </w:rPr>
        <w:t xml:space="preserve">тому будет способствовать реализация в среднесрочной перспективе на территории округа регионального проекта Ставропольского края «</w:t>
      </w:r>
      <w:r>
        <w:rPr>
          <w:sz w:val="28"/>
          <w:szCs w:val="28"/>
        </w:rPr>
        <w:t xml:space="preserve">Многодетная семья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здорового образа жизни большинством населения округа. Доля граждан, систематически занимающихся физической культурой и спортом, в общей численности населения, достигнет 72,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0% (в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55,9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%), что будет способствовать увеличению продолжительности жизни населения округа. В результате среднегодовая численность населения в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 xml:space="preserve">63,57</w:t>
      </w:r>
      <w:r>
        <w:rPr>
          <w:sz w:val="28"/>
          <w:szCs w:val="28"/>
        </w:rPr>
        <w:t xml:space="preserve"> тыс. человек</w:t>
      </w:r>
      <w:r>
        <w:rPr>
          <w:sz w:val="28"/>
          <w:szCs w:val="28"/>
        </w:rPr>
        <w:t xml:space="preserve"> или  до </w:t>
      </w:r>
      <w:r>
        <w:rPr>
          <w:sz w:val="28"/>
          <w:szCs w:val="28"/>
        </w:rPr>
        <w:t xml:space="preserve">92,70</w:t>
      </w:r>
      <w:r>
        <w:rPr>
          <w:sz w:val="28"/>
          <w:szCs w:val="28"/>
        </w:rPr>
        <w:t xml:space="preserve">% к уровню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прогнозном периоде ожидается устойчивое развитие экономики. </w:t>
      </w:r>
      <w:r>
        <w:rPr>
          <w:sz w:val="28"/>
          <w:szCs w:val="28"/>
        </w:rPr>
        <w:t xml:space="preserve">Ожидается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что в</w:t>
      </w:r>
      <w:r>
        <w:rPr>
          <w:sz w:val="28"/>
          <w:szCs w:val="28"/>
        </w:rPr>
        <w:t xml:space="preserve">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индекс</w:t>
      </w:r>
      <w:r>
        <w:rPr>
          <w:sz w:val="28"/>
          <w:szCs w:val="28"/>
        </w:rPr>
        <w:t xml:space="preserve"> промышленного производства </w:t>
      </w:r>
      <w:r>
        <w:rPr>
          <w:sz w:val="28"/>
          <w:szCs w:val="28"/>
        </w:rPr>
        <w:t xml:space="preserve">будет превышать 103,8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действующих ценах)</w:t>
      </w:r>
      <w:r>
        <w:rPr>
          <w:sz w:val="28"/>
          <w:szCs w:val="28"/>
        </w:rPr>
        <w:t xml:space="preserve">. Рост показателя обусловлен внедрением современного оборудования и технологий, проведением модернизации существующих производств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Производительность труда в обрабатывающей промышленности в 20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году увеличится в базовом варианте до </w:t>
      </w:r>
      <w:r>
        <w:rPr>
          <w:sz w:val="28"/>
          <w:szCs w:val="28"/>
        </w:rPr>
        <w:t xml:space="preserve">127,05</w:t>
      </w:r>
      <w:r>
        <w:rPr>
          <w:sz w:val="28"/>
          <w:szCs w:val="28"/>
        </w:rPr>
        <w:t xml:space="preserve">%.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Перспективы развития сельскохозяйственной отрасли округа определены </w:t>
      </w:r>
      <w:r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Соглашени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по реализации мероприятий Государственной программы развития сельского хозяйства, регулирования рынков сельскохозяйственной продукции сырья и продовольствия.</w:t>
      </w:r>
      <w:r>
        <w:rPr>
          <w:sz w:val="28"/>
          <w:szCs w:val="28"/>
        </w:rPr>
        <w:t xml:space="preserve"> Производство продукции сельского хозяйства достигнет в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в базовом варианте </w:t>
      </w:r>
      <w:r>
        <w:rPr>
          <w:sz w:val="28"/>
          <w:szCs w:val="28"/>
        </w:rPr>
        <w:t xml:space="preserve">20802,94</w:t>
      </w:r>
      <w:r>
        <w:rPr>
          <w:sz w:val="28"/>
          <w:szCs w:val="28"/>
        </w:rPr>
        <w:t xml:space="preserve"> млн. рублей, что в </w:t>
      </w:r>
      <w:r>
        <w:rPr>
          <w:sz w:val="28"/>
          <w:szCs w:val="28"/>
        </w:rPr>
        <w:t xml:space="preserve">1,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раза превысит значение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 условии сохранении темпов поступления инвестиций и увеличении об</w:t>
      </w:r>
      <w:r>
        <w:rPr>
          <w:sz w:val="28"/>
          <w:szCs w:val="28"/>
        </w:rPr>
        <w:t xml:space="preserve">ъемов государственной поддержки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отраслью сельскохозяйственного производства на протяжении всего прогнозируемого периода останется растениеводство. Его доля в общем объеме произведенной продукции </w:t>
      </w:r>
      <w:r>
        <w:rPr>
          <w:sz w:val="28"/>
          <w:szCs w:val="28"/>
        </w:rPr>
        <w:t xml:space="preserve">в среднем </w:t>
      </w:r>
      <w:r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превышать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75,00</w:t>
      </w:r>
      <w:r>
        <w:rPr>
          <w:sz w:val="28"/>
          <w:szCs w:val="28"/>
        </w:rPr>
        <w:t xml:space="preserve">% (в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78,60</w:t>
      </w:r>
      <w:r>
        <w:rPr>
          <w:sz w:val="28"/>
          <w:szCs w:val="28"/>
        </w:rPr>
        <w:t xml:space="preserve">%).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долгосрочной перспективе рисками развития сельского хозяйства остаются высокая зависимость производства от неблагоприятных агрометеорологических факторов, рост затрат на приобретение посевного материала, средств защиты растений и животных, сельскохозяйственной техники, изменения в законодательстве, определяющие формы и объемы государственной поддержки, а также ограничения, связанные с вводом санкций в отношении Российской Федерации недружественными государствами.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расчетам, и</w:t>
      </w:r>
      <w:r>
        <w:rPr>
          <w:sz w:val="28"/>
          <w:szCs w:val="28"/>
        </w:rPr>
        <w:t xml:space="preserve">нвестиции в основной капитал за счет всех источников финансирования (без субъектов малого и среднего предпринимательства и объемов инвестиций, не наблюдаемых прямыми методами) с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по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увеличатся в </w:t>
      </w:r>
      <w:r>
        <w:rPr>
          <w:sz w:val="28"/>
          <w:szCs w:val="28"/>
        </w:rPr>
        <w:t xml:space="preserve">3,1</w:t>
      </w:r>
      <w:r>
        <w:rPr>
          <w:sz w:val="28"/>
          <w:szCs w:val="28"/>
        </w:rPr>
        <w:t xml:space="preserve"> раза (в действующих ценах) с </w:t>
      </w:r>
      <w:r>
        <w:rPr>
          <w:sz w:val="28"/>
          <w:szCs w:val="28"/>
        </w:rPr>
        <w:t xml:space="preserve">987,98</w:t>
      </w:r>
      <w:r>
        <w:rPr>
          <w:sz w:val="28"/>
          <w:szCs w:val="28"/>
        </w:rPr>
        <w:t xml:space="preserve"> млн. рублей до </w:t>
      </w:r>
      <w:r>
        <w:rPr>
          <w:sz w:val="28"/>
          <w:szCs w:val="28"/>
        </w:rPr>
        <w:t xml:space="preserve">3072,42</w:t>
      </w:r>
      <w:r>
        <w:rPr>
          <w:sz w:val="28"/>
          <w:szCs w:val="28"/>
        </w:rPr>
        <w:t xml:space="preserve"> млн. рублей. 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Реализация инфраструктурных</w:t>
      </w:r>
      <w:r>
        <w:rPr>
          <w:sz w:val="28"/>
          <w:szCs w:val="28"/>
        </w:rPr>
        <w:t xml:space="preserve"> проектов в сфере ЖКХ (</w:t>
      </w:r>
      <w:r>
        <w:rPr>
          <w:sz w:val="28"/>
          <w:szCs w:val="28"/>
        </w:rPr>
        <w:t xml:space="preserve">модернизация Светлоградского группового водопровода, проектов в энергетике) будет способствовать снижению износа основных средств с 55,5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% в 2023 году до 55</w:t>
      </w:r>
      <w:r>
        <w:rPr>
          <w:sz w:val="28"/>
          <w:szCs w:val="28"/>
        </w:rPr>
        <w:t xml:space="preserve">,00</w:t>
      </w:r>
      <w:r>
        <w:rPr>
          <w:sz w:val="28"/>
          <w:szCs w:val="28"/>
        </w:rPr>
        <w:t xml:space="preserve">% в 2036 году.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среднесрочном периоде о</w:t>
      </w:r>
      <w:r>
        <w:rPr>
          <w:sz w:val="28"/>
          <w:szCs w:val="28"/>
        </w:rPr>
        <w:t xml:space="preserve">сновными факторами, сдерживающими инвестиционное развитие округа, остаются дефицит энергоресурсов (отсутствие свободных мощностей водоснабжения) и необходимой инженерной инфраструктуры</w:t>
      </w:r>
      <w:r>
        <w:rPr>
          <w:sz w:val="28"/>
          <w:szCs w:val="28"/>
        </w:rPr>
        <w:t xml:space="preserve">. В среднесрочной перспективе сохранится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существенное влияние высокой стоимости</w:t>
      </w:r>
      <w:r>
        <w:rPr>
          <w:sz w:val="28"/>
          <w:szCs w:val="28"/>
        </w:rPr>
        <w:t xml:space="preserve"> привлеченных кредитных </w:t>
      </w:r>
      <w:r>
        <w:rPr>
          <w:sz w:val="28"/>
          <w:szCs w:val="28"/>
        </w:rPr>
        <w:t xml:space="preserve">средств</w:t>
      </w:r>
      <w:r>
        <w:rPr>
          <w:sz w:val="28"/>
          <w:szCs w:val="28"/>
        </w:rPr>
        <w:t xml:space="preserve"> для реализации инвестиционных проектов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2024 года за счет ИЖС введено 11,21 тыс. кв. м. жилых домов. В</w:t>
      </w:r>
      <w:r>
        <w:rPr>
          <w:sz w:val="28"/>
          <w:szCs w:val="28"/>
        </w:rPr>
        <w:t xml:space="preserve"> целях расселения жителей округа из непригодного</w:t>
      </w:r>
      <w:r>
        <w:rPr>
          <w:sz w:val="28"/>
          <w:szCs w:val="28"/>
        </w:rPr>
        <w:t xml:space="preserve"> для проживания жилищного фонда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2029 году</w:t>
      </w:r>
      <w:r>
        <w:rPr>
          <w:sz w:val="28"/>
          <w:szCs w:val="28"/>
        </w:rPr>
        <w:t xml:space="preserve"> за счет средств бюджета округа планируется строительство многоквартирного дома общей площадью 1,5 тыс. 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тем, что в долгосрочной перспективе строительство многоквартирных жилых домов в округе больше не планируется, а также в связи с ростом цен на строительные и отделочные материалы в прогнозном периоде увеличения показателя не ожидается, ежегодный объем жилищного строительства в базовом варианте не будет превышать 9,00 тыс. кв.м.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позволит сократить к концу прогноз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периода долю </w:t>
      </w:r>
      <w:r>
        <w:rPr>
          <w:sz w:val="28"/>
          <w:szCs w:val="28"/>
        </w:rPr>
        <w:t xml:space="preserve">протяженности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</w:t>
      </w:r>
      <w:r>
        <w:rPr>
          <w:sz w:val="28"/>
          <w:szCs w:val="28"/>
        </w:rPr>
        <w:t xml:space="preserve">27,9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(в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32,46</w:t>
      </w:r>
      <w:r>
        <w:rPr>
          <w:sz w:val="28"/>
          <w:szCs w:val="28"/>
        </w:rPr>
        <w:t xml:space="preserve">%). По расчетам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203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будет построен автомобильный обход г. Светлограда, в результате протяженность автомобильных дорог общего пользования с твердым покрытием (местно</w:t>
      </w:r>
      <w:r>
        <w:rPr>
          <w:sz w:val="28"/>
          <w:szCs w:val="28"/>
        </w:rPr>
        <w:t xml:space="preserve">го значения) увеличится до </w:t>
      </w:r>
      <w:r>
        <w:rPr>
          <w:sz w:val="28"/>
          <w:szCs w:val="28"/>
        </w:rPr>
        <w:t xml:space="preserve">735,</w:t>
      </w:r>
      <w:r>
        <w:rPr>
          <w:sz w:val="28"/>
          <w:szCs w:val="28"/>
        </w:rPr>
        <w:t xml:space="preserve">54</w:t>
      </w:r>
      <w:r>
        <w:rPr>
          <w:sz w:val="28"/>
          <w:szCs w:val="28"/>
        </w:rPr>
        <w:t xml:space="preserve"> километров</w:t>
      </w:r>
      <w:r>
        <w:rPr>
          <w:sz w:val="28"/>
          <w:szCs w:val="28"/>
        </w:rPr>
        <w:t xml:space="preserve">.</w:t>
      </w:r>
    </w:p>
    <w:p>
      <w:pPr>
        <w:pStyle w:val="UserStyle_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2036 году за счет увеличения динамики физического товарооборота </w:t>
      </w:r>
      <w:r>
        <w:rPr>
          <w:sz w:val="28"/>
          <w:szCs w:val="28"/>
        </w:rPr>
        <w:t xml:space="preserve">оборот</w:t>
      </w:r>
      <w:r>
        <w:rPr>
          <w:sz w:val="28"/>
          <w:szCs w:val="28"/>
        </w:rPr>
        <w:t xml:space="preserve"> розничной торговли </w:t>
      </w:r>
      <w:r>
        <w:rPr>
          <w:sz w:val="28"/>
          <w:szCs w:val="28"/>
        </w:rPr>
        <w:t xml:space="preserve">превысит 9,5 млрд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рублей, что  в 3,1 раза превысит значение 2023 года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действующих ценах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работников крупных и средних предприятий по расчетам к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увеличится до </w:t>
      </w:r>
      <w:r>
        <w:rPr>
          <w:sz w:val="28"/>
          <w:szCs w:val="28"/>
        </w:rPr>
        <w:t xml:space="preserve">97855,19</w:t>
      </w:r>
      <w:r>
        <w:rPr>
          <w:sz w:val="28"/>
          <w:szCs w:val="28"/>
        </w:rPr>
        <w:t xml:space="preserve"> рубля или в 2,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раза в сравнении с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годом.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203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численность </w:t>
      </w:r>
      <w:r>
        <w:rPr>
          <w:sz w:val="28"/>
          <w:szCs w:val="28"/>
        </w:rPr>
        <w:t xml:space="preserve">рабочей силы</w:t>
      </w:r>
      <w:r>
        <w:rPr>
          <w:sz w:val="28"/>
          <w:szCs w:val="28"/>
        </w:rPr>
        <w:t xml:space="preserve"> составит 34,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тыс. человек или 54,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% среднегодовой численности населения округа (в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33,86</w:t>
      </w:r>
      <w:r>
        <w:rPr>
          <w:sz w:val="28"/>
          <w:szCs w:val="28"/>
        </w:rPr>
        <w:t xml:space="preserve"> тыс. человек и </w:t>
      </w:r>
      <w:r>
        <w:rPr>
          <w:sz w:val="28"/>
          <w:szCs w:val="28"/>
        </w:rPr>
        <w:t xml:space="preserve">49,39</w:t>
      </w:r>
      <w:r>
        <w:rPr>
          <w:sz w:val="28"/>
          <w:szCs w:val="28"/>
        </w:rPr>
        <w:t xml:space="preserve">% соответственно), прежде всего, это обусловлено </w:t>
      </w:r>
      <w:r>
        <w:rPr>
          <w:sz w:val="28"/>
          <w:szCs w:val="28"/>
        </w:rPr>
        <w:t xml:space="preserve">увеличением пенсионного возраста </w:t>
      </w:r>
      <w:r>
        <w:rPr>
          <w:sz w:val="28"/>
          <w:szCs w:val="28"/>
        </w:rPr>
        <w:t xml:space="preserve">в результате пенсионной реформы</w:t>
      </w:r>
      <w:r>
        <w:rPr>
          <w:sz w:val="28"/>
          <w:szCs w:val="28"/>
        </w:rPr>
        <w:t xml:space="preserve">, начатой в 2019 году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Территориального центра занятости Апанасенковского, Ипатовского, Петровского и Туркменского муниципальных округов уровень регистрируемой безработицы по состоянию на 01 октября 2024 года составлял 0,7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 (на 29 сентября 2023 года - 1,0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%). Численность официально зарегистрированных безработных - 250 человек, потребность в работниках, заявленная работодателями в органы службы занятости населения, 781 человек (по состоянию на 29 сентября 2023 года 346 человек и 763 человека соответственно).</w:t>
      </w:r>
      <w:r>
        <w:rPr>
          <w:sz w:val="28"/>
          <w:szCs w:val="28"/>
        </w:rPr>
        <w:t xml:space="preserve"> В долгосрочной перспективе прогнозируется стабилизация ситуации на рынке труда и сокращение значения показателя до </w:t>
      </w:r>
      <w:r>
        <w:rPr>
          <w:sz w:val="28"/>
          <w:szCs w:val="28"/>
        </w:rPr>
        <w:t xml:space="preserve">0,7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2024 года в округе проживало 3448 детей в возрасте 1 - 6 лет. При наличии в детских садах 2957 мест обеспеченность дошкольными образовательными учреждениями составляет 857 мест в расчете на 1000 детей в возрасте 1 - 6 лет. </w:t>
      </w:r>
    </w:p>
    <w:p>
      <w:pPr>
        <w:pStyle w:val="UserStyle_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связи с реконструкцией муниципального казенного учреждения «Светлоградский городской стадион»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2036 году уровень обеспеченности населения округа спортивными сооружениями увеличится до 70,13 %.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оля населения округа, систематически занимающегося физической культурой и спортом, в общей численности населения округа д</w:t>
      </w:r>
      <w:r>
        <w:rPr>
          <w:sz w:val="28"/>
          <w:szCs w:val="28"/>
        </w:rPr>
        <w:t xml:space="preserve">остигнет</w:t>
      </w:r>
      <w:r>
        <w:rPr>
          <w:sz w:val="28"/>
          <w:szCs w:val="28"/>
        </w:rPr>
        <w:t xml:space="preserve"> 72,8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%, что </w:t>
      </w:r>
      <w:r>
        <w:rPr>
          <w:sz w:val="28"/>
          <w:szCs w:val="28"/>
        </w:rPr>
        <w:t xml:space="preserve">на 8,31%</w:t>
      </w:r>
      <w:r>
        <w:rPr>
          <w:sz w:val="28"/>
          <w:szCs w:val="28"/>
        </w:rPr>
        <w:t xml:space="preserve"> выше уровня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года.</w:t>
      </w:r>
    </w:p>
    <w:p>
      <w:pPr>
        <w:pStyle w:val="UserStyle_94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оказания круглосуточной стационарной помощи в ГБУЗ СК «Петровская районная больница» развернуто </w:t>
      </w:r>
      <w:r>
        <w:rPr>
          <w:rFonts w:ascii="Times New Roman" w:hAnsi="Times New Roman" w:eastAsia="MS Mincho" w:cs="Times New Roman"/>
        </w:rPr>
        <w:t xml:space="preserve">376</w:t>
      </w:r>
      <w:r>
        <w:rPr>
          <w:rFonts w:ascii="Times New Roman" w:hAnsi="Times New Roman" w:cs="Times New Roman"/>
        </w:rPr>
        <w:t xml:space="preserve"> коек и 110 коек дневного стационара, что по оценке составляет 71,55 коек в расчете на 10,0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 тыс. человек.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муниципальных учреждений культуры включает 24 клубных учреждения, 22 библиотеки, 2 музея, детские художественную и музыкальную школы, что соответствует нормативной потребности. </w:t>
      </w:r>
    </w:p>
    <w:p>
      <w:pPr>
        <w:pStyle w:val="UserStyle_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2036 году в сравнении с 2024 годом в сфере культуры округа ожидается увеличение количества посещений организаций культуры в 1,5 раза выше уровня 2024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сохраняющейся негативной динамикой демографических показателей в прогноз</w:t>
      </w:r>
      <w:r>
        <w:rPr>
          <w:sz w:val="28"/>
          <w:szCs w:val="28"/>
        </w:rPr>
        <w:t xml:space="preserve">ном</w:t>
      </w:r>
      <w:r>
        <w:rPr>
          <w:sz w:val="28"/>
          <w:szCs w:val="28"/>
        </w:rPr>
        <w:t xml:space="preserve"> периоде будет отмечаться увеличение расчетных значений показателей, характеризующих обеспеченность населения социальными учреждениями.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цифровых технологий значительно упростило процесс обращения гр</w:t>
      </w:r>
      <w:r>
        <w:rPr>
          <w:sz w:val="28"/>
          <w:szCs w:val="28"/>
        </w:rPr>
        <w:t xml:space="preserve">аждан в государственные и муниципальные органы. </w:t>
      </w:r>
      <w:r>
        <w:rPr>
          <w:sz w:val="28"/>
          <w:szCs w:val="28"/>
        </w:rPr>
        <w:t xml:space="preserve"> Ожидается, что доля населения, использующего механизм получения государственных и муниципальных услуг в электронном виде</w:t>
      </w:r>
      <w:r>
        <w:rPr>
          <w:sz w:val="28"/>
          <w:szCs w:val="28"/>
        </w:rPr>
        <w:t xml:space="preserve"> на протяжении всего прогнозного периода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составлять</w:t>
      </w:r>
      <w:r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,00</w:t>
      </w:r>
      <w:r>
        <w:rPr>
          <w:sz w:val="28"/>
          <w:szCs w:val="28"/>
        </w:rPr>
        <w:t xml:space="preserve">%. 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 продолжит участие в ежегодной экологической акции «Сохраним природу Ставрополья», в рамках которой</w:t>
      </w:r>
      <w:r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 будут </w:t>
      </w:r>
      <w:r>
        <w:rPr>
          <w:sz w:val="28"/>
          <w:szCs w:val="28"/>
        </w:rPr>
        <w:t xml:space="preserve">проводиться не менее 200</w:t>
      </w:r>
      <w:r>
        <w:rPr>
          <w:sz w:val="28"/>
          <w:szCs w:val="28"/>
        </w:rPr>
        <w:t xml:space="preserve"> экологически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направленны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 сохранение окружающей среды, ежегодно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посаженных деревьев и кустарников на территории округа будет составлять не менее 500 единиц.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ourier New CYR">
    <w:panose1 w:val="02070309020205020404"/>
  </w:font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Liberation Sans">
    <w:panose1 w:val="020B0604020202020204"/>
  </w:font>
  <w:font w:name="MS Mincho">
    <w:panose1 w:val="02020603050405090304"/>
  </w:font>
  <w:font w:name="Tahoma">
    <w:panose1 w:val="020B0604030504040204"/>
  </w:font>
  <w:font w:name="Calibri">
    <w:panose1 w:val="020F0502020204030204"/>
  </w:font>
  <w:font w:name="宋体">
    <w:panose1 w:val="02000506000000020000"/>
  </w:font>
  <w:font w:name="Cambria">
    <w:panose1 w:val="02040503050406030204"/>
  </w:font>
  <w:font w:name="Times New Roman"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Default Paragraph Font"/>
    <w:next w:val="UserStyle_0"/>
    <w:link w:val="Normal"/>
  </w:style>
  <w:style w:type="character" w:styleId="UserStyle_1">
    <w:name w:val="Название Знак"/>
    <w:basedOn w:val="UserStyle_0"/>
    <w:next w:val="UserStyle_1"/>
    <w:link w:val="Normal"/>
    <w:rPr>
      <w:b/>
      <w:bCs/>
      <w:sz w:val="32"/>
      <w:szCs w:val="24"/>
      <w:lang w:eastAsia="ru-RU"/>
    </w:rPr>
  </w:style>
  <w:style w:type="character" w:styleId="UserStyle_2">
    <w:name w:val="Название Знак1"/>
    <w:basedOn w:val="UserStyle_0"/>
    <w:next w:val="UserStyle_2"/>
    <w:link w:val="Normal"/>
    <w:rPr>
      <w:rFonts w:ascii="Cambria" w:hAnsi="Cambria" w:eastAsia="宋体" w:cs="Times New Roman"/>
      <w:color w:val="17365d"/>
      <w:spacing w:val="5"/>
      <w:sz w:val="52"/>
      <w:szCs w:val="52"/>
      <w:lang w:eastAsia="ru-RU"/>
    </w:rPr>
  </w:style>
  <w:style w:type="character" w:styleId="Hyperlink">
    <w:name w:val="Гиперссылка"/>
    <w:basedOn w:val="UserStyle_0"/>
    <w:next w:val="Hyperlink"/>
    <w:link w:val="Normal"/>
    <w:rPr>
      <w:color w:val="0000ff"/>
      <w:u w:val="single"/>
    </w:rPr>
  </w:style>
  <w:style w:type="character" w:styleId="UserStyle_3">
    <w:name w:val="Основной текст Знак"/>
    <w:basedOn w:val="UserStyle_0"/>
    <w:next w:val="UserStyle_3"/>
    <w:link w:val="Normal"/>
    <w:rPr>
      <w:rFonts w:ascii="Times New Roman" w:hAnsi="Times New Roman" w:eastAsia="Calibri" w:cs="Times New Roman"/>
      <w:sz w:val="24"/>
      <w:szCs w:val="20"/>
      <w:lang w:eastAsia="ru-RU"/>
    </w:rPr>
  </w:style>
  <w:style w:type="character" w:styleId="FollowedHyperlink">
    <w:name w:val="Просмотренная гиперссылка"/>
    <w:basedOn w:val="UserStyle_0"/>
    <w:next w:val="FollowedHyperlink"/>
    <w:link w:val="Normal"/>
    <w:rPr>
      <w:color w:val="800080"/>
      <w:u w:val="single"/>
    </w:rPr>
  </w:style>
  <w:style w:type="character" w:styleId="UserStyle_4">
    <w:name w:val="Текст выноски Знак"/>
    <w:basedOn w:val="UserStyle_0"/>
    <w:next w:val="UserStyle_4"/>
    <w:link w:val="Normal"/>
    <w:rPr>
      <w:rFonts w:ascii="Tahoma" w:hAnsi="Tahoma" w:eastAsia="Times New Roman" w:cs="Tahoma"/>
      <w:sz w:val="16"/>
      <w:szCs w:val="16"/>
      <w:lang w:eastAsia="ru-RU"/>
    </w:rPr>
  </w:style>
  <w:style w:type="paragraph" w:styleId="UserStyle_5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120" w:after="120" w:line="360" w:lineRule="exact"/>
      <w:ind w:left="0" w:right="0" w:firstLine="709"/>
    </w:pPr>
    <w:rPr>
      <w:rFonts w:eastAsia="Calibri"/>
      <w:szCs w:val="20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6">
    <w:name w:val="Указатель1"/>
    <w:basedOn w:val="Normal"/>
    <w:next w:val="UserStyle_6"/>
    <w:link w:val="Normal"/>
    <w:pPr>
      <w:suppressLineNumbers/>
    </w:pPr>
    <w:rPr>
      <w:rFonts w:cs="Droid Sans Devanagari"/>
    </w:rPr>
  </w:style>
  <w:style w:type="paragraph" w:styleId="Title">
    <w:name w:val="Название"/>
    <w:basedOn w:val="Normal"/>
    <w:next w:val="BodyText"/>
    <w:link w:val="Normal"/>
    <w:qFormat/>
    <w:pPr>
      <w:jc w:val="center"/>
    </w:pPr>
    <w:rPr>
      <w:rFonts w:ascii="Calibri" w:hAnsi="Calibri" w:eastAsia="Calibri" w:cs="Arial"/>
      <w:b/>
      <w:bCs/>
      <w:sz w:val="32"/>
    </w:rPr>
  </w:style>
  <w:style w:type="paragraph" w:styleId="UserStyle_7">
    <w:name w:val="caption"/>
    <w:basedOn w:val="Normal"/>
    <w:next w:val="UserStyle_7"/>
    <w:link w:val="Normal"/>
    <w:pPr>
      <w:suppressLineNumbers/>
      <w:spacing w:before="120" w:after="120"/>
    </w:pPr>
    <w:rPr>
      <w:rFonts w:cs="Droid Sans Devanagari"/>
      <w:i/>
      <w:iCs/>
    </w:rPr>
  </w:style>
  <w:style w:type="paragraph" w:styleId="UserStyle_8">
    <w:name w:val="index heading"/>
    <w:basedOn w:val="Normal"/>
    <w:next w:val="UserStyle_8"/>
    <w:link w:val="Normal"/>
    <w:pPr>
      <w:suppressLineNumbers/>
    </w:pPr>
    <w:rPr>
      <w:rFonts w:cs="Droid Sans Devanagari"/>
    </w:rPr>
  </w:style>
  <w:style w:type="paragraph" w:styleId="UserStyle_9">
    <w:name w:val="List Paragraph"/>
    <w:basedOn w:val="Normal"/>
    <w:next w:val="UserStyle_9"/>
    <w:link w:val="Normal"/>
    <w:pPr>
      <w:spacing w:before="0" w:after="0"/>
      <w:ind w:left="720" w:right="0" w:firstLine="0"/>
      <w:contextualSpacing/>
    </w:pPr>
  </w:style>
  <w:style w:type="paragraph" w:styleId="UserStyle_10">
    <w:name w:val="msonormal"/>
    <w:basedOn w:val="Normal"/>
    <w:next w:val="UserStyle_10"/>
    <w:link w:val="Normal"/>
    <w:pPr>
      <w:spacing w:before="280" w:after="280"/>
    </w:pPr>
  </w:style>
  <w:style w:type="paragraph" w:styleId="UserStyle_11">
    <w:name w:val="xl66"/>
    <w:basedOn w:val="Normal"/>
    <w:next w:val="UserStyle_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12">
    <w:name w:val="xl67"/>
    <w:basedOn w:val="Normal"/>
    <w:next w:val="UserStyle_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13">
    <w:name w:val="xl68"/>
    <w:basedOn w:val="Normal"/>
    <w:next w:val="UserStyle_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14">
    <w:name w:val="xl69"/>
    <w:basedOn w:val="Normal"/>
    <w:next w:val="UserStyle_14"/>
    <w:link w:val="Normal"/>
    <w:pPr>
      <w:shd w:val="clear" w:color="auto" w:fill="ffffff"/>
      <w:spacing w:before="280" w:after="280"/>
    </w:pPr>
  </w:style>
  <w:style w:type="paragraph" w:styleId="UserStyle_15">
    <w:name w:val="xl70"/>
    <w:basedOn w:val="Normal"/>
    <w:next w:val="UserStyle_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16">
    <w:name w:val="xl71"/>
    <w:basedOn w:val="Normal"/>
    <w:next w:val="UserStyle_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17">
    <w:name w:val="xl72"/>
    <w:basedOn w:val="Normal"/>
    <w:next w:val="UserStyle_17"/>
    <w:link w:val="Normal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</w:pPr>
  </w:style>
  <w:style w:type="paragraph" w:styleId="UserStyle_18">
    <w:name w:val="xl73"/>
    <w:basedOn w:val="Normal"/>
    <w:next w:val="UserStyle_18"/>
    <w:link w:val="Normal"/>
    <w:pPr>
      <w:spacing w:before="280" w:after="280"/>
      <w:jc w:val="both"/>
    </w:pPr>
  </w:style>
  <w:style w:type="paragraph" w:styleId="UserStyle_19">
    <w:name w:val="xl74"/>
    <w:basedOn w:val="Normal"/>
    <w:next w:val="UserStyle_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</w:style>
  <w:style w:type="paragraph" w:styleId="UserStyle_20">
    <w:name w:val="xl75"/>
    <w:basedOn w:val="Normal"/>
    <w:next w:val="UserStyle_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1">
    <w:name w:val="xl76"/>
    <w:basedOn w:val="Normal"/>
    <w:next w:val="UserStyle_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2">
    <w:name w:val="xl77"/>
    <w:basedOn w:val="Normal"/>
    <w:next w:val="UserStyle_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color w:val="000000"/>
    </w:rPr>
  </w:style>
  <w:style w:type="paragraph" w:styleId="UserStyle_23">
    <w:name w:val="xl78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4">
    <w:name w:val="xl79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  <w:rPr>
      <w:b/>
      <w:bCs/>
    </w:rPr>
  </w:style>
  <w:style w:type="paragraph" w:styleId="UserStyle_25">
    <w:name w:val="xl80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</w:style>
  <w:style w:type="paragraph" w:styleId="UserStyle_26">
    <w:name w:val="xl81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</w:style>
  <w:style w:type="paragraph" w:styleId="UserStyle_27">
    <w:name w:val="xl82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8">
    <w:name w:val="xl83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29">
    <w:name w:val="xl84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30">
    <w:name w:val="xl85"/>
    <w:basedOn w:val="Normal"/>
    <w:next w:val="UserStyle_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31">
    <w:name w:val="xl86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32">
    <w:name w:val="xl87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33">
    <w:name w:val="xl88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</w:style>
  <w:style w:type="paragraph" w:styleId="UserStyle_34">
    <w:name w:val="xl89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both"/>
    </w:pPr>
  </w:style>
  <w:style w:type="paragraph" w:styleId="UserStyle_35">
    <w:name w:val="xl90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36">
    <w:name w:val="Balloon Text"/>
    <w:basedOn w:val="Normal"/>
    <w:next w:val="UserStyle_36"/>
    <w:link w:val="Normal"/>
    <w:rPr>
      <w:rFonts w:ascii="Tahoma" w:hAnsi="Tahoma" w:cs="Tahoma"/>
      <w:sz w:val="16"/>
      <w:szCs w:val="16"/>
    </w:rPr>
  </w:style>
  <w:style w:type="paragraph" w:styleId="UserStyle_37">
    <w:name w:val="Без интервала1"/>
    <w:next w:val="UserStyle_37"/>
    <w:link w:val="Normal"/>
    <w:rPr>
      <w:rFonts w:ascii="Calibri" w:hAnsi="Calibri" w:cs="Calibri"/>
      <w:sz w:val="22"/>
      <w:szCs w:val="22"/>
      <w:lang w:val="ru-RU" w:eastAsia="en-US" w:bidi="ar-SA"/>
    </w:rPr>
  </w:style>
  <w:style w:type="paragraph" w:styleId="UserStyle_38">
    <w:name w:val="ConsNonformat"/>
    <w:next w:val="UserStyle_38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39">
    <w:name w:val="No Spacing"/>
    <w:next w:val="UserStyle_39"/>
    <w:link w:val="Normal"/>
    <w:rPr>
      <w:rFonts w:ascii="Calibri" w:hAnsi="Calibri"/>
      <w:sz w:val="22"/>
      <w:szCs w:val="22"/>
      <w:lang w:val="ru-RU" w:eastAsia="en-US" w:bidi="ar-SA"/>
    </w:rPr>
  </w:style>
  <w:style w:type="paragraph" w:styleId="UserStyle_40">
    <w:name w:val="Т-1"/>
    <w:basedOn w:val="Normal"/>
    <w:next w:val="UserStyle_40"/>
    <w:link w:val="Normal"/>
    <w:pPr>
      <w:spacing w:line="360" w:lineRule="auto"/>
      <w:ind w:left="0" w:right="0" w:firstLine="720"/>
      <w:jc w:val="both"/>
    </w:pPr>
    <w:rPr>
      <w:sz w:val="28"/>
      <w:szCs w:val="20"/>
    </w:rPr>
  </w:style>
  <w:style w:type="paragraph" w:styleId="UserStyle_41">
    <w:name w:val="xl91"/>
    <w:basedOn w:val="Normal"/>
    <w:next w:val="UserStyle_41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</w:rPr>
  </w:style>
  <w:style w:type="paragraph" w:styleId="UserStyle_42">
    <w:name w:val="xl92"/>
    <w:basedOn w:val="Normal"/>
    <w:next w:val="UserStyle_42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styleId="UserStyle_43">
    <w:name w:val="xl93"/>
    <w:basedOn w:val="Normal"/>
    <w:next w:val="UserStyle_43"/>
    <w:link w:val="Normal"/>
    <w:pPr>
      <w:spacing w:before="280" w:after="280"/>
    </w:pPr>
  </w:style>
  <w:style w:type="paragraph" w:styleId="UserStyle_44">
    <w:name w:val="xl94"/>
    <w:basedOn w:val="Normal"/>
    <w:next w:val="UserStyle_44"/>
    <w:link w:val="Normal"/>
    <w:pPr>
      <w:spacing w:before="280" w:after="280"/>
      <w:jc w:val="both"/>
    </w:pPr>
  </w:style>
  <w:style w:type="paragraph" w:styleId="UserStyle_45">
    <w:name w:val="xl95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</w:rPr>
  </w:style>
  <w:style w:type="paragraph" w:styleId="UserStyle_46">
    <w:name w:val="xl96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color w:val="000000"/>
    </w:rPr>
  </w:style>
  <w:style w:type="paragraph" w:styleId="UserStyle_47">
    <w:name w:val="xl97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styleId="UserStyle_48">
    <w:name w:val="xl98"/>
    <w:basedOn w:val="Normal"/>
    <w:next w:val="UserStyle_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both"/>
    </w:pPr>
  </w:style>
  <w:style w:type="paragraph" w:styleId="UserStyle_49">
    <w:name w:val="xl99"/>
    <w:basedOn w:val="Normal"/>
    <w:next w:val="UserStyle_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50">
    <w:name w:val="xl100"/>
    <w:basedOn w:val="Normal"/>
    <w:next w:val="UserStyle_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51">
    <w:name w:val="xl101"/>
    <w:basedOn w:val="Normal"/>
    <w:next w:val="UserStyle_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52">
    <w:name w:val="xl102"/>
    <w:basedOn w:val="Normal"/>
    <w:next w:val="UserStyle_5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53">
    <w:name w:val="xl103"/>
    <w:basedOn w:val="Normal"/>
    <w:next w:val="UserStyle_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both"/>
    </w:pPr>
  </w:style>
  <w:style w:type="paragraph" w:styleId="UserStyle_54">
    <w:name w:val="xl104"/>
    <w:basedOn w:val="Normal"/>
    <w:next w:val="UserStyle_54"/>
    <w:link w:val="Normal"/>
    <w:pPr>
      <w:shd w:val="clear" w:color="auto" w:fill="ffffff"/>
      <w:spacing w:before="280" w:after="280"/>
    </w:pPr>
  </w:style>
  <w:style w:type="paragraph" w:styleId="UserStyle_55">
    <w:name w:val="xl105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56">
    <w:name w:val="xl106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  <w:rPr>
      <w:color w:val="ff0000"/>
    </w:rPr>
  </w:style>
  <w:style w:type="paragraph" w:styleId="UserStyle_57">
    <w:name w:val="xl107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58">
    <w:name w:val="xl108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  <w:rPr>
      <w:color w:val="000000"/>
    </w:rPr>
  </w:style>
  <w:style w:type="paragraph" w:styleId="UserStyle_59">
    <w:name w:val="xl109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60">
    <w:name w:val="xl110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61">
    <w:name w:val="xl111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  <w:rPr>
      <w:color w:val="ff0000"/>
    </w:rPr>
  </w:style>
  <w:style w:type="paragraph" w:styleId="UserStyle_62">
    <w:name w:val="xl112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63">
    <w:name w:val="xl113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64">
    <w:name w:val="xl114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65">
    <w:name w:val="xl115"/>
    <w:basedOn w:val="Normal"/>
    <w:next w:val="UserStyle_65"/>
    <w:link w:val="Normal"/>
    <w:pPr>
      <w:shd w:val="clear" w:color="auto" w:fill="dce6f1"/>
      <w:spacing w:before="280" w:after="280"/>
    </w:pPr>
  </w:style>
  <w:style w:type="paragraph" w:styleId="UserStyle_66">
    <w:name w:val="xl116"/>
    <w:basedOn w:val="Normal"/>
    <w:next w:val="UserStyle_66"/>
    <w:link w:val="Normal"/>
    <w:pPr>
      <w:shd w:val="clear" w:color="auto" w:fill="c5d9f1"/>
      <w:spacing w:before="280" w:after="280"/>
    </w:pPr>
  </w:style>
  <w:style w:type="paragraph" w:styleId="UserStyle_67">
    <w:name w:val="xl117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both"/>
    </w:pPr>
  </w:style>
  <w:style w:type="paragraph" w:styleId="UserStyle_68">
    <w:name w:val="xl118"/>
    <w:basedOn w:val="Normal"/>
    <w:next w:val="UserStyle_6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  <w:rPr>
      <w:b/>
      <w:bCs/>
    </w:rPr>
  </w:style>
  <w:style w:type="paragraph" w:styleId="UserStyle_69">
    <w:name w:val="xl119"/>
    <w:basedOn w:val="Normal"/>
    <w:next w:val="UserStyle_6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70">
    <w:name w:val="xl120"/>
    <w:basedOn w:val="Normal"/>
    <w:next w:val="UserStyle_7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71">
    <w:name w:val="xl121"/>
    <w:basedOn w:val="Normal"/>
    <w:next w:val="UserStyle_71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72">
    <w:name w:val="xl122"/>
    <w:basedOn w:val="Normal"/>
    <w:next w:val="UserStyle_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73">
    <w:name w:val="xl123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both"/>
    </w:pPr>
    <w:rPr>
      <w:b/>
      <w:bCs/>
    </w:rPr>
  </w:style>
  <w:style w:type="paragraph" w:styleId="UserStyle_74">
    <w:name w:val="xl124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75">
    <w:name w:val="xl125"/>
    <w:basedOn w:val="Normal"/>
    <w:next w:val="UserStyle_75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  <w:rPr>
      <w:color w:val="ff0000"/>
    </w:rPr>
  </w:style>
  <w:style w:type="paragraph" w:styleId="UserStyle_76">
    <w:name w:val="xl126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  <w:rPr>
      <w:color w:val="ff0000"/>
    </w:rPr>
  </w:style>
  <w:style w:type="paragraph" w:styleId="UserStyle_77">
    <w:name w:val="xl127"/>
    <w:basedOn w:val="Normal"/>
    <w:next w:val="UserStyle_77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</w:style>
  <w:style w:type="paragraph" w:styleId="UserStyle_78">
    <w:name w:val="xl128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</w:style>
  <w:style w:type="paragraph" w:styleId="UserStyle_79">
    <w:name w:val="xl129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80">
    <w:name w:val="xl130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both"/>
    </w:pPr>
  </w:style>
  <w:style w:type="paragraph" w:styleId="UserStyle_81">
    <w:name w:val="xl131"/>
    <w:basedOn w:val="Normal"/>
    <w:next w:val="UserStyle_81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</w:style>
  <w:style w:type="paragraph" w:styleId="UserStyle_82">
    <w:name w:val="xl132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83">
    <w:name w:val="xl133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84">
    <w:name w:val="xl134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styleId="UserStyle_85">
    <w:name w:val="xl135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86">
    <w:name w:val="xl136"/>
    <w:basedOn w:val="Normal"/>
    <w:next w:val="UserStyle_86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</w:rPr>
  </w:style>
  <w:style w:type="paragraph" w:styleId="UserStyle_87">
    <w:name w:val="xl137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</w:rPr>
  </w:style>
  <w:style w:type="paragraph" w:styleId="UserStyle_88">
    <w:name w:val="xl138"/>
    <w:basedOn w:val="Normal"/>
    <w:next w:val="UserStyle_88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89">
    <w:name w:val="xl139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styleId="UserStyle_90">
    <w:name w:val="xl140"/>
    <w:basedOn w:val="Normal"/>
    <w:next w:val="UserStyle_90"/>
    <w:link w:val="Normal"/>
    <w:pPr>
      <w:shd w:val="clear" w:color="auto" w:fill="ffffff"/>
      <w:spacing w:before="280" w:after="280"/>
      <w:jc w:val="center"/>
    </w:pPr>
    <w:rPr>
      <w:sz w:val="28"/>
      <w:szCs w:val="28"/>
    </w:rPr>
  </w:style>
  <w:style w:type="paragraph" w:styleId="UserStyle_91">
    <w:name w:val="xl141"/>
    <w:basedOn w:val="Normal"/>
    <w:next w:val="UserStyle_91"/>
    <w:link w:val="Normal"/>
    <w:pPr>
      <w:spacing w:before="280" w:after="280"/>
      <w:jc w:val="center"/>
    </w:pPr>
    <w:rPr>
      <w:b/>
      <w:bCs/>
      <w:sz w:val="28"/>
      <w:szCs w:val="28"/>
    </w:rPr>
  </w:style>
  <w:style w:type="paragraph" w:styleId="UserStyle_92">
    <w:name w:val="xl142"/>
    <w:basedOn w:val="Normal"/>
    <w:next w:val="UserStyle_92"/>
    <w:link w:val="Normal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  <w:rPr>
      <w:b/>
      <w:bCs/>
      <w:sz w:val="28"/>
      <w:szCs w:val="28"/>
    </w:rPr>
  </w:style>
  <w:style w:type="paragraph" w:styleId="UserStyle_93">
    <w:name w:val="ConsPlusNormal"/>
    <w:next w:val="UserStyle_93"/>
    <w:link w:val="Normal"/>
    <w:pPr>
      <w:widowControl w:val="off"/>
    </w:pPr>
    <w:rPr>
      <w:sz w:val="24"/>
      <w:szCs w:val="24"/>
      <w:lang w:val="ru-RU" w:eastAsia="ru-RU" w:bidi="ar-SA"/>
    </w:rPr>
  </w:style>
  <w:style w:type="paragraph" w:styleId="UserStyle_94">
    <w:name w:val="Обычный1"/>
    <w:next w:val="UserStyle_94"/>
    <w:link w:val="Normal"/>
    <w:uiPriority w:val="99"/>
    <w:pPr>
      <w:tabs>
        <w:tab w:val="left" w:pos="709" w:leader="none"/>
      </w:tabs>
      <w:spacing w:after="200" w:line="276" w:lineRule="auto"/>
      <w:ind w:firstLine="720"/>
      <w:jc w:val="both"/>
    </w:pPr>
    <w:rPr>
      <w:rFonts w:ascii="Courier New CYR" w:hAnsi="Courier New CYR" w:cs="Courier New CYR"/>
      <w:sz w:val="28"/>
      <w:szCs w:val="28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8756</Characters>
  <CharactersWithSpaces>10272</CharactersWithSpaces>
  <DocSecurity>0</DocSecurity>
  <HyperlinksChanged>false</HyperlinksChanged>
  <Lines>72</Lines>
  <Pages>4</Pages>
  <Paragraphs>20</Paragraphs>
  <ScaleCrop>false</ScaleCrop>
  <SharedDoc>false</SharedDoc>
  <Template>Normal.dotm</Template>
  <Words>1536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myazina</dc:creator>
  <cp:lastModifiedBy>myazina</cp:lastModifiedBy>
  <cp:revision>47</cp:revision>
  <dcterms:created xsi:type="dcterms:W3CDTF">2024-12-27T05:37:00Z</dcterms:created>
  <dcterms:modified xsi:type="dcterms:W3CDTF">2025-01-14T11:53:00Z</dcterms:modified>
  <cp:version>786432</cp:version>
</cp:coreProperties>
</file>