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10262"/>
        <w:tblLayout w:type="fixed"/>
      </w:tblPr>
      <w:tblGrid>
        <w:gridCol w:w="4308"/>
      </w:tblGrid>
      <w:tr>
        <w:trPr>
          <w:trHeight w:hRule="atLeast" w:val="284"/>
        </w:trPr>
        <w:tc>
          <w:tcPr>
            <w:tcW w:type="dxa" w:w="4308"/>
          </w:tcPr>
          <w:p w14:paraId="03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</w:t>
            </w:r>
          </w:p>
        </w:tc>
      </w:tr>
      <w:tr>
        <w:trPr>
          <w:trHeight w:hRule="atLeast" w:val="704"/>
        </w:trPr>
        <w:tc>
          <w:tcPr>
            <w:tcW w:type="dxa" w:w="4308"/>
          </w:tcPr>
          <w:p w14:paraId="04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приказом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управления муниципального хозяйства </w:t>
            </w:r>
            <w:r>
              <w:rPr>
                <w:rFonts w:ascii="Times New Roman" w:hAnsi="Times New Roman"/>
                <w:sz w:val="28"/>
              </w:rPr>
              <w:t xml:space="preserve">администрации Петровского </w:t>
            </w:r>
            <w:r>
              <w:rPr>
                <w:rFonts w:ascii="Times New Roman" w:hAnsi="Times New Roman"/>
                <w:sz w:val="28"/>
              </w:rPr>
              <w:t>муниципального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</w:rPr>
              <w:t xml:space="preserve"> Ставропольского края</w:t>
            </w:r>
          </w:p>
        </w:tc>
      </w:tr>
      <w:tr>
        <w:trPr>
          <w:trHeight w:hRule="atLeast" w:val="445"/>
        </w:trPr>
        <w:tc>
          <w:tcPr>
            <w:tcW w:type="dxa" w:w="4308"/>
            <w:vAlign w:val="center"/>
          </w:tcPr>
          <w:p w14:paraId="05000000">
            <w:pPr>
              <w:spacing w:after="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от 27 декабря</w:t>
            </w:r>
            <w:r>
              <w:rPr>
                <w:rFonts w:ascii="Times New Roman" w:hAnsi="Times New Roman"/>
                <w:sz w:val="28"/>
              </w:rPr>
              <w:t xml:space="preserve"> 2024 г. № 61</w:t>
            </w:r>
          </w:p>
        </w:tc>
      </w:tr>
    </w:tbl>
    <w:p w14:paraId="06000000">
      <w:pPr>
        <w:pStyle w:val="Style_2"/>
        <w:spacing w:line="240" w:lineRule="exact"/>
        <w:ind w:firstLine="0" w:left="0"/>
        <w:rPr>
          <w:rFonts w:ascii="Times New Roman" w:hAnsi="Times New Roman"/>
          <w:b w:val="1"/>
          <w:sz w:val="24"/>
        </w:rPr>
      </w:pPr>
    </w:p>
    <w:p w14:paraId="07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Детальный план-график </w:t>
      </w:r>
      <w:r>
        <w:rPr>
          <w:rFonts w:ascii="Times New Roman" w:hAnsi="Times New Roman"/>
          <w:b w:val="1"/>
          <w:sz w:val="22"/>
        </w:rPr>
        <w:t xml:space="preserve">реализации муниципальной программы Петровского </w:t>
      </w:r>
      <w:r>
        <w:rPr>
          <w:rFonts w:ascii="Times New Roman" w:hAnsi="Times New Roman"/>
          <w:b w:val="1"/>
          <w:sz w:val="22"/>
        </w:rPr>
        <w:t>муниципального</w:t>
      </w:r>
      <w:r>
        <w:rPr>
          <w:rFonts w:ascii="Times New Roman" w:hAnsi="Times New Roman"/>
          <w:b w:val="1"/>
          <w:sz w:val="22"/>
        </w:rPr>
        <w:t xml:space="preserve"> округа Ставропольского края «</w:t>
      </w:r>
      <w:r>
        <w:rPr>
          <w:rFonts w:ascii="Times New Roman" w:hAnsi="Times New Roman"/>
          <w:b w:val="1"/>
          <w:sz w:val="22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/>
          <w:b w:val="1"/>
          <w:sz w:val="22"/>
        </w:rPr>
        <w:t>»</w:t>
      </w:r>
      <w:r>
        <w:rPr>
          <w:rFonts w:ascii="Times New Roman" w:hAnsi="Times New Roman"/>
          <w:b w:val="1"/>
          <w:sz w:val="22"/>
        </w:rPr>
        <w:t xml:space="preserve"> </w:t>
      </w:r>
      <w:r>
        <w:rPr>
          <w:rFonts w:ascii="Times New Roman" w:hAnsi="Times New Roman"/>
          <w:b w:val="1"/>
          <w:sz w:val="22"/>
        </w:rPr>
        <w:t>на 2024</w:t>
      </w:r>
      <w:r>
        <w:rPr>
          <w:rFonts w:ascii="Times New Roman" w:hAnsi="Times New Roman"/>
          <w:b w:val="1"/>
          <w:sz w:val="22"/>
        </w:rPr>
        <w:t xml:space="preserve"> год</w:t>
      </w:r>
    </w:p>
    <w:p w14:paraId="0800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sz w:val="22"/>
        </w:rPr>
      </w:pPr>
    </w:p>
    <w:tbl>
      <w:tblPr>
        <w:tblStyle w:val="Style_1"/>
        <w:tblInd w:type="dxa" w:w="51"/>
        <w:tblLayout w:type="fixed"/>
        <w:tblCellMar>
          <w:left w:type="dxa" w:w="62"/>
          <w:right w:type="dxa" w:w="62"/>
        </w:tblCellMar>
      </w:tblPr>
      <w:tblGrid>
        <w:gridCol w:w="578"/>
        <w:gridCol w:w="2835"/>
        <w:gridCol w:w="2268"/>
        <w:gridCol w:w="1560"/>
        <w:gridCol w:w="992"/>
        <w:gridCol w:w="992"/>
        <w:gridCol w:w="1418"/>
        <w:gridCol w:w="1275"/>
        <w:gridCol w:w="1134"/>
        <w:gridCol w:w="1414"/>
      </w:tblGrid>
      <w:tr>
        <w:tc>
          <w:tcPr>
            <w:tcW w:type="dxa" w:w="578"/>
            <w:vMerge w:val="restart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основного мероприятия подпрограммы Программы,  контрольного события мероприятия подпрограммы Программы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Ответственный исполнитель (должность Ф.И.О)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>Дата наступления контрольного события</w:t>
            </w:r>
          </w:p>
        </w:tc>
        <w:tc>
          <w:tcPr>
            <w:tcW w:type="dxa" w:w="7225"/>
            <w:gridSpan w:val="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D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Объемы и источники финансового обеспечения Программы,</w:t>
            </w:r>
          </w:p>
          <w:p w14:paraId="0E000000">
            <w:pPr>
              <w:pStyle w:val="Style_2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тыс. рублей</w:t>
            </w:r>
          </w:p>
        </w:tc>
      </w:tr>
      <w:tr>
        <w:trPr>
          <w:trHeight w:hRule="atLeast" w:val="555"/>
        </w:trPr>
        <w:tc>
          <w:tcPr>
            <w:tcW w:type="dxa" w:w="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/>
        </w:tc>
        <w:tc>
          <w:tcPr>
            <w:tcW w:type="dxa" w:w="99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F000000">
            <w:pPr>
              <w:pStyle w:val="Style_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Всего, в том числе:</w:t>
            </w:r>
          </w:p>
        </w:tc>
        <w:tc>
          <w:tcPr>
            <w:tcW w:type="dxa" w:w="241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0000000">
            <w:pPr>
              <w:pStyle w:val="Style_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округа</w:t>
            </w:r>
          </w:p>
        </w:tc>
        <w:tc>
          <w:tcPr>
            <w:tcW w:type="dxa" w:w="1275"/>
            <w:vMerge w:val="restart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1000000">
            <w:pPr>
              <w:pStyle w:val="Style_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Налоговые расходы бюджета округа</w:t>
            </w:r>
          </w:p>
        </w:tc>
        <w:tc>
          <w:tcPr>
            <w:tcW w:type="dxa" w:w="2548"/>
            <w:gridSpan w:val="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2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участников Программы</w:t>
            </w:r>
          </w:p>
        </w:tc>
      </w:tr>
      <w:tr>
        <w:trPr>
          <w:trHeight w:hRule="atLeast" w:val="1616"/>
        </w:trPr>
        <w:tc>
          <w:tcPr>
            <w:tcW w:type="dxa" w:w="5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/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/>
        </w:tc>
        <w:tc>
          <w:tcPr>
            <w:tcW w:type="dxa" w:w="992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3000000">
            <w:pPr>
              <w:pStyle w:val="Style_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 округа</w:t>
            </w:r>
          </w:p>
        </w:tc>
        <w:tc>
          <w:tcPr>
            <w:tcW w:type="dxa" w:w="1418"/>
            <w:tcBorders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4000000">
            <w:pPr>
              <w:pStyle w:val="Style_2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 из краевого бюджета</w:t>
            </w:r>
          </w:p>
        </w:tc>
        <w:tc>
          <w:tcPr>
            <w:tcW w:type="dxa" w:w="1275"/>
            <w:gridSpan w:val="1"/>
            <w:vMerge w:val="continue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/>
        </w:tc>
        <w:tc>
          <w:tcPr>
            <w:tcW w:type="dxa" w:w="1134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type="dxa" w:w="1414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предприниматели, физические лица</w:t>
            </w:r>
          </w:p>
        </w:tc>
      </w:tr>
      <w:tr>
        <w:trPr>
          <w:trHeight w:hRule="atLeast" w:val="111"/>
        </w:trP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C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E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F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>
          <w:trHeight w:hRule="atLeast" w:val="202"/>
        </w:trP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2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pacing w:val="-4"/>
                <w:sz w:val="20"/>
              </w:rPr>
              <w:t>Программа «</w:t>
            </w:r>
            <w:r>
              <w:rPr>
                <w:rFonts w:ascii="Times New Roman" w:hAnsi="Times New Roman"/>
                <w:b w:val="1"/>
                <w:sz w:val="20"/>
              </w:rPr>
              <w:t>Развитие транспортной системы и обеспечение безопасности дорожного движения</w:t>
            </w:r>
            <w:r>
              <w:rPr>
                <w:rFonts w:ascii="Times New Roman" w:hAnsi="Times New Roman"/>
                <w:b w:val="1"/>
                <w:color w:val="000000"/>
                <w:spacing w:val="-4"/>
                <w:sz w:val="20"/>
              </w:rPr>
              <w:t>»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</w:t>
            </w:r>
            <w:r>
              <w:rPr>
                <w:rFonts w:ascii="Times New Roman" w:hAnsi="Times New Roman"/>
                <w:sz w:val="20"/>
              </w:rPr>
              <w:t xml:space="preserve"> начальник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 xml:space="preserve"> управления муниципального хозяйства администрации Петровского </w:t>
            </w:r>
            <w:r>
              <w:rPr>
                <w:rFonts w:ascii="Times New Roman" w:hAnsi="Times New Roman"/>
                <w:sz w:val="20"/>
              </w:rPr>
              <w:t>муниципального</w:t>
            </w:r>
            <w:r>
              <w:rPr>
                <w:rFonts w:ascii="Times New Roman" w:hAnsi="Times New Roman"/>
                <w:sz w:val="20"/>
              </w:rPr>
              <w:t xml:space="preserve"> округа Ставропольского края </w:t>
            </w:r>
            <w:r>
              <w:rPr>
                <w:rFonts w:ascii="Times New Roman" w:hAnsi="Times New Roman"/>
                <w:sz w:val="20"/>
              </w:rPr>
              <w:t>Брянцев А.А.</w:t>
            </w:r>
            <w:r>
              <w:rPr>
                <w:rFonts w:ascii="Times New Roman" w:hAnsi="Times New Roman"/>
                <w:sz w:val="20"/>
              </w:rPr>
              <w:t xml:space="preserve"> (далее – </w:t>
            </w:r>
            <w:r>
              <w:rPr>
                <w:rFonts w:ascii="Times New Roman" w:hAnsi="Times New Roman"/>
                <w:sz w:val="20"/>
              </w:rPr>
              <w:t>Врио</w:t>
            </w:r>
            <w:r>
              <w:rPr>
                <w:rFonts w:ascii="Times New Roman" w:hAnsi="Times New Roman"/>
                <w:sz w:val="20"/>
              </w:rPr>
              <w:t xml:space="preserve"> начальника управления муниципального хозяйства</w:t>
            </w:r>
            <w:r>
              <w:rPr>
                <w:rFonts w:ascii="Times New Roman" w:hAnsi="Times New Roman"/>
                <w:sz w:val="20"/>
              </w:rPr>
              <w:t xml:space="preserve"> Брянцев А.А.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432903,52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100839,21</w:t>
            </w:r>
          </w:p>
        </w:tc>
        <w:tc>
          <w:tcPr>
            <w:tcW w:type="dxa" w:w="1418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322613,99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C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«</w:t>
            </w:r>
            <w:r>
              <w:rPr>
                <w:rFonts w:ascii="Times New Roman" w:hAnsi="Times New Roman"/>
                <w:b w:val="1"/>
                <w:sz w:val="20"/>
              </w:rPr>
              <w:t xml:space="preserve">Развитие улично-дорожной сети </w:t>
            </w:r>
            <w:r>
              <w:rPr>
                <w:rFonts w:ascii="Times New Roman" w:hAnsi="Times New Roman"/>
                <w:b w:val="1"/>
                <w:sz w:val="20"/>
              </w:rPr>
              <w:t>и обеспечение безопасности дорожного движения»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2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432903,52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0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 xml:space="preserve"> 100839,21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322613,99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6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Установка, ремонт и содержание ТСОДД на автомобильных дорогах и улично-дорожной сети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37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4012,91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4012,91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1. Выполнение работ по установке, ремонту и содержанию ТСОДД на автомобильных дорогах и улично-дорожной сети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41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2.</w:t>
            </w:r>
          </w:p>
          <w:p w14:paraId="4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Поставка электрической энергии для светофорных объектов осуществлена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4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5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Содержание, капитальный ремонт и ремонт улично-дорожной сети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56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397727,51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83854,35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313873,16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3.</w:t>
            </w:r>
          </w:p>
          <w:p w14:paraId="6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работ по зимнему содержанию автомобильных дорог общего пользования местного значения Петровского </w:t>
            </w:r>
            <w:r>
              <w:rPr>
                <w:rFonts w:ascii="Times New Roman" w:hAnsi="Times New Roman"/>
                <w:sz w:val="20"/>
              </w:rPr>
              <w:t>муниципального</w:t>
            </w:r>
            <w:r>
              <w:rPr>
                <w:rFonts w:ascii="Times New Roman" w:hAnsi="Times New Roman"/>
                <w:sz w:val="20"/>
              </w:rPr>
              <w:t xml:space="preserve"> округа Ставропольского края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61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4.</w:t>
            </w:r>
          </w:p>
          <w:p w14:paraId="6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работ по ямочному ремонту автомобильных дорог общего пользования местного значения Петровского </w:t>
            </w:r>
            <w:r>
              <w:rPr>
                <w:rFonts w:ascii="Times New Roman" w:hAnsi="Times New Roman"/>
                <w:sz w:val="20"/>
              </w:rPr>
              <w:t>муниципального</w:t>
            </w:r>
            <w:r>
              <w:rPr>
                <w:rFonts w:ascii="Times New Roman" w:hAnsi="Times New Roman"/>
                <w:sz w:val="20"/>
              </w:rPr>
              <w:t xml:space="preserve"> округа Ставропольского края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6C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5.</w:t>
            </w:r>
          </w:p>
          <w:p w14:paraId="7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и ремонт автомобильных дорог общего пользования местного значения Петровского </w:t>
            </w:r>
            <w:r>
              <w:rPr>
                <w:rFonts w:ascii="Times New Roman" w:hAnsi="Times New Roman"/>
                <w:sz w:val="20"/>
              </w:rPr>
              <w:t>муниципального</w:t>
            </w:r>
            <w:r>
              <w:rPr>
                <w:rFonts w:ascii="Times New Roman" w:hAnsi="Times New Roman"/>
                <w:sz w:val="20"/>
              </w:rPr>
              <w:t xml:space="preserve"> округа Ставропольского края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77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6.</w:t>
            </w:r>
          </w:p>
          <w:p w14:paraId="8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субсидии МБУ «Коммунальное хозяйство» в целях выполнения работ по содержанию, капитальному ремонту и ремонту улично-дорожной сети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82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rPr>
          <w:trHeight w:hRule="atLeast" w:val="1144"/>
        </w:trP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top"/>
          </w:tcPr>
          <w:p w14:paraId="8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7.</w:t>
            </w:r>
          </w:p>
          <w:p w14:paraId="8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</w:rPr>
              <w:t xml:space="preserve">апитальный ремонт и ремонт автомобильных дорог общего пользования местного значения </w:t>
            </w:r>
            <w:r>
              <w:rPr>
                <w:rFonts w:ascii="Times New Roman" w:hAnsi="Times New Roman"/>
                <w:sz w:val="20"/>
              </w:rPr>
              <w:t>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8D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  <w:p w14:paraId="8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8.</w:t>
            </w:r>
          </w:p>
          <w:p w14:paraId="9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Капитальный ремонт и (или) ремонт автомобильных дорог общего пользования местного значения, ведущих к муниципальным общеобразовательным организациям </w:t>
            </w:r>
            <w:r>
              <w:rPr>
                <w:rFonts w:ascii="Times New Roman" w:hAnsi="Times New Roman"/>
                <w:sz w:val="20"/>
              </w:rPr>
              <w:t>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9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  <w:p w14:paraId="9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9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3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Организация деятельности комиссии по обеспечению безопасности дорожного движения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A4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78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type="dxa" w:w="2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A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9.</w:t>
            </w:r>
          </w:p>
          <w:p w14:paraId="A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Заседания комиссии по обеспечению безопасности дорожного движения проведены</w:t>
            </w:r>
          </w:p>
        </w:tc>
        <w:tc>
          <w:tcPr>
            <w:tcW w:type="dxa" w:w="226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A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29.03.2024, до 28.06.2024, до 30.09.2024, до 28.12.2024</w:t>
            </w:r>
          </w:p>
        </w:tc>
        <w:tc>
          <w:tcPr>
            <w:tcW w:type="dxa" w:w="992"/>
            <w:tcBorders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type="dxa" w:w="2835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10.</w:t>
            </w:r>
          </w:p>
          <w:p w14:paraId="B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вопросов для рассмотрения на заседании комиссии по обеспечению безопасности дорожного движения  сформирован</w:t>
            </w:r>
          </w:p>
        </w:tc>
        <w:tc>
          <w:tcPr>
            <w:tcW w:type="dxa" w:w="226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B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29.03.2024, до 28.06.2024, до 30.09.2024, до 28.12.2024</w:t>
            </w:r>
          </w:p>
        </w:tc>
        <w:tc>
          <w:tcPr>
            <w:tcW w:type="dxa" w:w="992"/>
            <w:tcBorders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B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3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Создание условий для предоставления транспортных услуг населению и организация транспортного обслуживания населения в границах Петровского </w:t>
            </w:r>
            <w:r>
              <w:rPr>
                <w:rFonts w:ascii="Times New Roman" w:hAnsi="Times New Roman"/>
                <w:b w:val="1"/>
                <w:sz w:val="20"/>
              </w:rPr>
              <w:t>муниципального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округа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C4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C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11.</w:t>
            </w:r>
          </w:p>
          <w:p w14:paraId="C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Автобусное сообщение сельских населенных пунктов с административным центром Петровского </w:t>
            </w:r>
            <w:r>
              <w:rPr>
                <w:rFonts w:ascii="Times New Roman" w:hAnsi="Times New Roman"/>
                <w:sz w:val="20"/>
              </w:rPr>
              <w:t>муниципального</w:t>
            </w:r>
            <w:r>
              <w:rPr>
                <w:rFonts w:ascii="Times New Roman" w:hAnsi="Times New Roman"/>
                <w:sz w:val="20"/>
              </w:rPr>
              <w:t xml:space="preserve"> округа обеспечено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CF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31.12.2024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12.</w:t>
            </w:r>
          </w:p>
          <w:p w14:paraId="D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Актуализация реестра муниципальных маршрутов регулярных перевозок Петровского </w:t>
            </w:r>
            <w:r>
              <w:rPr>
                <w:rFonts w:ascii="Times New Roman" w:hAnsi="Times New Roman"/>
                <w:sz w:val="20"/>
              </w:rPr>
              <w:t>муниципального</w:t>
            </w:r>
            <w:r>
              <w:rPr>
                <w:rFonts w:ascii="Times New Roman" w:hAnsi="Times New Roman"/>
                <w:sz w:val="20"/>
              </w:rPr>
              <w:t xml:space="preserve"> округа Ставропольского края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DA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D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3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Реализация инициативных проектов на территории Петровского </w:t>
            </w:r>
            <w:r>
              <w:rPr>
                <w:rFonts w:ascii="Times New Roman" w:hAnsi="Times New Roman"/>
                <w:b w:val="1"/>
                <w:sz w:val="20"/>
              </w:rPr>
              <w:t>муниципального</w:t>
            </w:r>
            <w:r>
              <w:rPr>
                <w:rFonts w:ascii="Times New Roman" w:hAnsi="Times New Roman"/>
                <w:b w:val="1"/>
                <w:sz w:val="20"/>
              </w:rPr>
              <w:t xml:space="preserve"> округа Ставропольского края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E4000000">
            <w:pPr>
              <w:ind/>
              <w:jc w:val="center"/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12625,32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3434,17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8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8740,83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450,32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D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Ремонт тротуара по ул. Шоссейная в селе Николина Балка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</w:rPr>
              <w:t>»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EE00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E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0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1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2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3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4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5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6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7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 Безвозмездные работы в рамках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Ремонт тротуара по ул. Шоссейная в селе Николина Балка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</w:rPr>
              <w:t>» выполнены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F800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9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01.07.2024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A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B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C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D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E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FF00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0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1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Устройство тротуара по ул. Советской в селе Ореховка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</w:rPr>
              <w:t>»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02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3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4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5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6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7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8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9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A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B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</w:t>
            </w:r>
            <w:r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. Безвозмездные работы в рамках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Устройство тротуара по ул. Советской в селе Ореховка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</w:rPr>
              <w:t>» выполнены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0C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D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01.07.2024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E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0F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0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1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2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3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4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5.5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5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</w:t>
            </w:r>
            <w:r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Ремонт участков автомобильной дороги по улице Почтовая поселка Прикалаусский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</w:rPr>
              <w:t>»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16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7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8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9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A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B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C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D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E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5.6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1F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</w:t>
            </w: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 Безвозмездные работы в рамках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Ремонт участков автомобильной дороги по улице Почтовая поселка Прикалаусский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</w:rPr>
              <w:t>» выполнены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20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1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01.07.2024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2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3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4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5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6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7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8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5.7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9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19.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Благоустройство пешеходных зон по ул. Первомайской и ул. Садовой п. Рогатая Балка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</w:rPr>
              <w:t>»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2A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B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C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D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E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2F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0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1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2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5.8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3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20. Безвозмездные работы в рамках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Благоустройство пешеходных зон по ул. Первомайской и ул. Садовой п. Рогатая Балка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</w:rPr>
              <w:t>» выполнены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34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5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01.07.2024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6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7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8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9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A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B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C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D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Реализация инициативных проектов в Петровском </w:t>
            </w:r>
            <w:r>
              <w:rPr>
                <w:rFonts w:ascii="Times New Roman" w:hAnsi="Times New Roman"/>
                <w:b w:val="1"/>
                <w:sz w:val="20"/>
              </w:rPr>
              <w:t>муниципальном</w:t>
            </w:r>
            <w:r>
              <w:rPr>
                <w:rFonts w:ascii="Times New Roman" w:hAnsi="Times New Roman"/>
                <w:b w:val="1"/>
                <w:sz w:val="20"/>
              </w:rPr>
              <w:t xml:space="preserve"> округе Ставропольского края за счет средств местного бюджета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3E01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3F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0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7103,55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1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7103,55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2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3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4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5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6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7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21</w:t>
            </w:r>
            <w:r>
              <w:rPr>
                <w:rFonts w:ascii="Times New Roman" w:hAnsi="Times New Roman"/>
                <w:sz w:val="20"/>
              </w:rPr>
              <w:t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«Ремонт части автомобильной дороги общего пользования местного значения по ул. Гноевого в селе Гофицкое Петровского муниципального округа Ставропольского края»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4801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9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A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B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C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D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E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4F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0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6.3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1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</w:rPr>
              <w:t>22</w:t>
            </w:r>
            <w:r>
              <w:rPr>
                <w:rFonts w:ascii="Times New Roman" w:hAnsi="Times New Roman"/>
                <w:sz w:val="20"/>
              </w:rPr>
              <w:t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«Ремонт части автомобильной дороги общего пользования местного значения по ул. Гражданской в селе Гофицкое Петровского муниципального округа Ставропольского края»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52010000"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3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4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5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6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7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8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9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A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6.5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B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23</w:t>
            </w:r>
            <w:r>
              <w:rPr>
                <w:rFonts w:ascii="Times New Roman" w:hAnsi="Times New Roman"/>
                <w:sz w:val="20"/>
              </w:rPr>
              <w:t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Ремонт участка автомобильной дороги общего пользования местного значения по ул. Железнодорожная х. Вознесенский  Петровского муниципального округа Ставропольского края</w:t>
            </w:r>
            <w:r>
              <w:rPr>
                <w:rFonts w:ascii="Times New Roman" w:hAnsi="Times New Roman"/>
                <w:color w:val="000000"/>
                <w:sz w:val="20"/>
              </w:rPr>
              <w:t>»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5C010000"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D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E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5F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0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1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2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3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4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6.7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5010000">
            <w:pPr>
              <w:pStyle w:val="Style_4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Контрольное событие 24</w:t>
            </w:r>
            <w:r>
              <w:rPr>
                <w:rFonts w:ascii="Times New Roman" w:hAnsi="Times New Roman"/>
                <w:sz w:val="20"/>
              </w:rPr>
              <w:t>. Выполнение работ по реализации инициативного проекта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</w:rPr>
              <w:t>Ремонт дороги по тупику Приветливый города Светлограда</w:t>
            </w:r>
            <w:r>
              <w:rPr>
                <w:rFonts w:ascii="Times New Roman" w:hAnsi="Times New Roman"/>
                <w:color w:val="000000"/>
                <w:sz w:val="20"/>
              </w:rPr>
              <w:t>» осуществлено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66010000"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7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8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9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A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B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C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D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E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6F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Реконструкция объектов, находящихся в муниципальной собственности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70010000"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1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2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2434,23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3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2434,23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4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5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6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7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8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7.1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9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</w:rPr>
              <w:t>25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highlight w:val="white"/>
              </w:rPr>
              <w:t>Р</w:t>
            </w:r>
            <w:r>
              <w:rPr>
                <w:rFonts w:ascii="Times New Roman" w:hAnsi="Times New Roman"/>
                <w:sz w:val="20"/>
                <w:highlight w:val="white"/>
              </w:rPr>
              <w:t>азработк</w:t>
            </w:r>
            <w:r>
              <w:rPr>
                <w:rFonts w:ascii="Times New Roman" w:hAnsi="Times New Roman"/>
                <w:sz w:val="20"/>
                <w:highlight w:val="white"/>
              </w:rPr>
              <w:t>а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проектной документации на выполнение работ по реконструкции автомобильных дорог общего пользования местного значения по ул. Кавказская, ул. Калинина, ул. Сельскохозяйственная в городе Светлограде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осуществлена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7A010000"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B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C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D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E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7F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0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1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>
        <w:tc>
          <w:tcPr>
            <w:tcW w:type="dxa" w:w="578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2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7.2</w:t>
            </w:r>
          </w:p>
        </w:tc>
        <w:tc>
          <w:tcPr>
            <w:tcW w:type="dxa" w:w="28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301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Контрольное событие </w:t>
            </w:r>
            <w:r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  <w:highlight w:val="white"/>
              </w:rPr>
              <w:t>Р</w:t>
            </w:r>
            <w:r>
              <w:rPr>
                <w:rFonts w:ascii="Times New Roman" w:hAnsi="Times New Roman"/>
                <w:sz w:val="20"/>
                <w:highlight w:val="white"/>
              </w:rPr>
              <w:t>азработк</w:t>
            </w:r>
            <w:r>
              <w:rPr>
                <w:rFonts w:ascii="Times New Roman" w:hAnsi="Times New Roman"/>
                <w:sz w:val="20"/>
                <w:highlight w:val="white"/>
              </w:rPr>
              <w:t>а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проектной документации по объекту: «Реконструкция моста через реку Калаус на а/д «Светлоград – Благодарный – Буденновск» в г. Светлограде </w:t>
            </w:r>
            <w:r>
              <w:rPr>
                <w:rStyle w:val="Style_5_ch"/>
                <w:rFonts w:ascii="Times New Roman" w:hAnsi="Times New Roman"/>
                <w:sz w:val="20"/>
              </w:rPr>
              <w:t>Петровского</w:t>
            </w:r>
            <w:r>
              <w:rPr>
                <w:rFonts w:ascii="Times New Roman" w:hAnsi="Times New Roman"/>
                <w:sz w:val="20"/>
                <w:highlight w:val="white"/>
              </w:rPr>
              <w:t> муниципального округа Ставропольского края»</w:t>
            </w:r>
            <w:r>
              <w:rPr>
                <w:rFonts w:ascii="Times New Roman" w:hAnsi="Times New Roman"/>
                <w:sz w:val="20"/>
                <w:highlight w:val="white"/>
              </w:rPr>
              <w:t xml:space="preserve"> осуществлена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</w:tcPr>
          <w:p w14:paraId="84010000">
            <w:r>
              <w:rPr>
                <w:rFonts w:ascii="Times New Roman" w:hAnsi="Times New Roman"/>
                <w:sz w:val="20"/>
              </w:rPr>
              <w:t>Врио начальника управления муниципального хозяйства Брянцев А.А..</w:t>
            </w:r>
          </w:p>
        </w:tc>
        <w:tc>
          <w:tcPr>
            <w:tcW w:type="dxa" w:w="15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5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 28.12.2024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6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992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7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8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8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275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9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134"/>
            <w:tcBorders>
              <w:top w:color="000000" w:sz="6" w:val="single"/>
              <w:left w:color="000000" w:sz="4" w:val="single"/>
              <w:bottom w:color="000000" w:sz="6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A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type="dxa" w:w="1414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left w:type="dxa" w:w="62"/>
              <w:right w:type="dxa" w:w="62"/>
            </w:tcMar>
            <w:vAlign w:val="center"/>
          </w:tcPr>
          <w:p w14:paraId="8B010000">
            <w:pPr>
              <w:pStyle w:val="Style_4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</w:tbl>
    <w:p w14:paraId="8C01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i w:val="1"/>
          <w:sz w:val="22"/>
        </w:rPr>
      </w:pPr>
    </w:p>
    <w:p w14:paraId="8D010000">
      <w:pPr>
        <w:pStyle w:val="Style_2"/>
        <w:spacing w:line="240" w:lineRule="exact"/>
        <w:ind/>
        <w:jc w:val="center"/>
        <w:rPr>
          <w:rFonts w:ascii="Times New Roman" w:hAnsi="Times New Roman"/>
          <w:b w:val="1"/>
          <w:i w:val="1"/>
          <w:sz w:val="22"/>
        </w:rPr>
      </w:pPr>
    </w:p>
    <w:p w14:paraId="8E010000">
      <w:pPr>
        <w:spacing w:after="0" w:line="240" w:lineRule="exact"/>
        <w:ind/>
        <w:jc w:val="both"/>
        <w:rPr>
          <w:rFonts w:ascii="Times New Roman" w:hAnsi="Times New Roman"/>
          <w:i w:val="1"/>
          <w:sz w:val="28"/>
        </w:rPr>
      </w:pPr>
    </w:p>
    <w:p w14:paraId="8F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Временно исполняющий </w:t>
      </w:r>
    </w:p>
    <w:p w14:paraId="90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обязанности начальника</w:t>
      </w:r>
      <w:r>
        <w:rPr>
          <w:rFonts w:ascii="Times New Roman" w:hAnsi="Times New Roman"/>
          <w:sz w:val="28"/>
        </w:rPr>
        <w:t xml:space="preserve"> </w:t>
      </w:r>
    </w:p>
    <w:p w14:paraId="91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r>
        <w:rPr>
          <w:rFonts w:ascii="Times New Roman" w:hAnsi="Times New Roman"/>
          <w:sz w:val="28"/>
        </w:rPr>
        <w:t xml:space="preserve">муниципального </w:t>
      </w:r>
    </w:p>
    <w:p w14:paraId="92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хозяйства </w:t>
      </w:r>
      <w:r>
        <w:rPr>
          <w:rFonts w:ascii="Times New Roman" w:hAnsi="Times New Roman"/>
          <w:sz w:val="28"/>
        </w:rPr>
        <w:t xml:space="preserve">администрации </w:t>
      </w:r>
    </w:p>
    <w:p w14:paraId="93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Петровского </w:t>
      </w:r>
      <w:r>
        <w:rPr>
          <w:rFonts w:ascii="Times New Roman" w:hAnsi="Times New Roman"/>
          <w:sz w:val="28"/>
        </w:rPr>
        <w:t>муниципального</w:t>
      </w:r>
    </w:p>
    <w:p w14:paraId="94010000">
      <w:r>
        <w:rPr>
          <w:rFonts w:ascii="Times New Roman" w:hAnsi="Times New Roman"/>
          <w:sz w:val="28"/>
        </w:rPr>
        <w:t xml:space="preserve">округа </w:t>
      </w:r>
      <w:r>
        <w:rPr>
          <w:rFonts w:ascii="Times New Roman" w:hAnsi="Times New Roman"/>
          <w:sz w:val="28"/>
        </w:rPr>
        <w:t xml:space="preserve">Ставропольского края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А.А. Брянцев</w:t>
      </w:r>
    </w:p>
    <w:p w14:paraId="95010000">
      <w:pPr>
        <w:sectPr>
          <w:footerReference r:id="rId1" w:type="default"/>
          <w:pgSz w:h="11908" w:orient="landscape" w:w="16848"/>
          <w:pgMar w:bottom="850" w:footer="709" w:gutter="0" w:header="709" w:left="1134" w:right="1134" w:top="1701"/>
        </w:sectPr>
      </w:pPr>
    </w:p>
    <w:p w14:paraId="96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9701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pgSz w:h="11908" w:orient="landscape" w:w="16848"/>
      <w:pgMar w:bottom="850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Nonformat"/>
    <w:link w:val="Style_13_ch"/>
    <w:pPr>
      <w:widowControl w:val="0"/>
      <w:ind/>
    </w:pPr>
    <w:rPr>
      <w:rFonts w:ascii="Courier New" w:hAnsi="Courier New"/>
    </w:rPr>
  </w:style>
  <w:style w:styleId="Style_13_ch" w:type="character">
    <w:name w:val="ConsPlusNonformat"/>
    <w:link w:val="Style_13"/>
    <w:rPr>
      <w:rFonts w:ascii="Courier New" w:hAnsi="Courier New"/>
    </w:rPr>
  </w:style>
  <w:style w:styleId="Style_4" w:type="paragraph">
    <w:name w:val="No Spacing"/>
    <w:link w:val="Style_4_ch"/>
    <w:rPr>
      <w:sz w:val="22"/>
    </w:rPr>
  </w:style>
  <w:style w:styleId="Style_4_ch" w:type="character">
    <w:name w:val="No Spacing"/>
    <w:link w:val="Style_4"/>
    <w:rPr>
      <w:sz w:val="22"/>
    </w:rPr>
  </w:style>
  <w:style w:styleId="Style_5" w:type="paragraph">
    <w:name w:val="highlightcolor"/>
    <w:link w:val="Style_5_ch"/>
  </w:style>
  <w:style w:styleId="Style_5_ch" w:type="character">
    <w:name w:val="highlightcolor"/>
    <w:link w:val="Style_5"/>
  </w:style>
  <w:style w:styleId="Style_14" w:type="paragraph">
    <w:name w:val="fontstyle13"/>
    <w:basedOn w:val="Style_9"/>
    <w:link w:val="Style_14_ch"/>
  </w:style>
  <w:style w:styleId="Style_14_ch" w:type="character">
    <w:name w:val="fontstyle13"/>
    <w:basedOn w:val="Style_9_ch"/>
    <w:link w:val="Style_14"/>
  </w:style>
  <w:style w:styleId="Style_15" w:type="paragraph">
    <w:name w:val="List Paragraph"/>
    <w:basedOn w:val="Style_6"/>
    <w:link w:val="Style_15_ch"/>
    <w:pPr>
      <w:ind w:firstLine="0" w:left="720"/>
      <w:contextualSpacing w:val="1"/>
    </w:pPr>
    <w:rPr>
      <w:rFonts w:ascii="Calibri" w:hAnsi="Calibri"/>
    </w:rPr>
  </w:style>
  <w:style w:styleId="Style_15_ch" w:type="character">
    <w:name w:val="List Paragraph"/>
    <w:basedOn w:val="Style_6_ch"/>
    <w:link w:val="Style_15"/>
    <w:rPr>
      <w:rFonts w:ascii="Calibri" w:hAnsi="Calibri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basedOn w:val="Style_6"/>
    <w:next w:val="Style_6"/>
    <w:link w:val="Style_17_ch"/>
    <w:uiPriority w:val="9"/>
    <w:qFormat/>
    <w:pPr>
      <w:keepNext w:val="1"/>
      <w:widowControl w:val="0"/>
      <w:spacing w:after="0" w:line="240" w:lineRule="auto"/>
      <w:ind/>
      <w:jc w:val="both"/>
      <w:outlineLvl w:val="4"/>
    </w:pPr>
    <w:rPr>
      <w:rFonts w:ascii="Times New Roman" w:hAnsi="Times New Roman"/>
      <w:sz w:val="28"/>
    </w:rPr>
  </w:style>
  <w:style w:styleId="Style_17_ch" w:type="character">
    <w:name w:val="heading 5"/>
    <w:basedOn w:val="Style_6_ch"/>
    <w:link w:val="Style_17"/>
    <w:rPr>
      <w:rFonts w:ascii="Times New Roman" w:hAnsi="Times New Roman"/>
      <w:sz w:val="28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3" w:type="paragraph">
    <w:name w:val="Содержимое таблицы"/>
    <w:basedOn w:val="Style_6"/>
    <w:link w:val="Style_3_ch"/>
    <w:rPr>
      <w:rFonts w:ascii="Calibri" w:hAnsi="Calibri"/>
    </w:rPr>
  </w:style>
  <w:style w:styleId="Style_3_ch" w:type="character">
    <w:name w:val="Содержимое таблицы"/>
    <w:basedOn w:val="Style_6_ch"/>
    <w:link w:val="Style_3"/>
    <w:rPr>
      <w:rFonts w:ascii="Calibri" w:hAnsi="Calibri"/>
    </w:rPr>
  </w:style>
  <w:style w:styleId="Style_19" w:type="paragraph">
    <w:name w:val="Balloon Text"/>
    <w:basedOn w:val="Style_6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6_ch"/>
    <w:link w:val="Style_19"/>
    <w:rPr>
      <w:rFonts w:ascii="Tahoma" w:hAnsi="Tahoma"/>
      <w:sz w:val="16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" w:type="paragraph">
    <w:name w:val="ConsPlusNormal"/>
    <w:link w:val="Style_2_ch"/>
    <w:pPr>
      <w:widowControl w:val="0"/>
      <w:ind w:firstLine="720" w:left="0"/>
    </w:pPr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26" w:type="paragraph">
    <w:name w:val="ConsNonformat"/>
    <w:link w:val="Style_26_ch"/>
    <w:pPr>
      <w:widowControl w:val="0"/>
      <w:ind w:right="19772"/>
    </w:pPr>
    <w:rPr>
      <w:rFonts w:ascii="Courier New" w:hAnsi="Courier New"/>
    </w:rPr>
  </w:style>
  <w:style w:styleId="Style_26_ch" w:type="character">
    <w:name w:val="ConsNonformat"/>
    <w:link w:val="Style_26"/>
    <w:rPr>
      <w:rFonts w:ascii="Courier New" w:hAnsi="Courier New"/>
    </w:rPr>
  </w:style>
  <w:style w:styleId="Style_27" w:type="paragraph">
    <w:name w:val="toc 5"/>
    <w:next w:val="Style_6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Subtitle"/>
    <w:next w:val="Style_6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2025-03-26T13:57:03Z</dcterms:modified>
</cp:coreProperties>
</file>