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/>
        <w:jc w:val="both"/>
        <w:rPr>
          <w:sz w:val="26"/>
          <w:szCs w:val="26"/>
          <w:lang w:val="en-US"/>
        </w:rPr>
      </w:pPr>
      <w:r>
        <w:rPr>
          <w:b/>
          <w:bCs/>
          <w:color w:val="000000"/>
          <w:sz w:val="22"/>
          <w:szCs w:val="22"/>
        </w:rPr>
        <w:t>ПЕРЕЧЕНЬ</w:t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</w:rPr>
        <w:t>ДОКУ</w:t>
      </w:r>
      <w:r>
        <mc:AlternateContent>
          <mc:Choice Requires="wps">
            <w:drawing>
              <wp:anchor behindDoc="0" distT="0" distB="0" distL="114300" distR="38100" simplePos="0" locked="0" layoutInCell="0" allowOverlap="1" relativeHeight="2">
                <wp:simplePos x="0" y="0"/>
                <wp:positionH relativeFrom="column">
                  <wp:posOffset>-902335</wp:posOffset>
                </wp:positionH>
                <wp:positionV relativeFrom="paragraph">
                  <wp:posOffset>-989330</wp:posOffset>
                </wp:positionV>
                <wp:extent cx="7207250" cy="1333500"/>
                <wp:effectExtent l="0" t="76200" r="7620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250" cy="1333500"/>
                        </a:xfrm>
                        <a:prstGeom prst="rect"/>
                        <a:solidFill>
                          <a:srgbClr val="8DB3E2"/>
                        </a:solidFill>
                        <a:ln w="635">
                          <a:solidFill>
                            <a:srgbClr val="000000"/>
                          </a:solidFill>
                        </a:ln>
                        <a:effectLst>
                          <a:outerShdw dist="107315" dir="189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6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Style26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Style2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ПАМЯТКА О ПОРЯДКЕ ПРЕДОСТАВЛЕНИЯ  МУНИЦИПАЛЬНОЙ УСЛУГИ </w:t>
                            </w:r>
                          </w:p>
                          <w:p>
                            <w:pPr>
                              <w:pStyle w:val="Style26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«ВЫДАЧА РАЗРЕШЕНИЙ НА ПРАВО РАЗМЕЩЕНИЯ ОБЪЕКТОВ НЕСТАЦИОНАРНОЙ ТОРГОВЛИ БЕЗ ПРОВЕДЕНИЯ АУКЦИОНА»</w:t>
                            </w:r>
                          </w:p>
                          <w:p>
                            <w:pPr>
                              <w:pStyle w:val="Style2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ПЕРЕЧЕНЬ ДОКУМЕНТОВ НЕОБХОДИМЫХ ДЛЯ ПОЛУЧЕНИЯ МУНИЦИПАЛЬНОЙ УСЛУГИ</w:t>
                            </w:r>
                          </w:p>
                          <w:p>
                            <w:pPr>
                              <w:pStyle w:val="Style26"/>
                              <w:rPr>
                                <w:szCs w:val="3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8DB3E2" strokecolor="#000000" strokeweight="0pt" style="position:absolute;rotation:0;width:567.5pt;height:105pt;mso-wrap-distance-left:9pt;mso-wrap-distance-right:9pt;mso-wrap-distance-top:0pt;mso-wrap-distance-bottom:0pt;margin-top:-77.9pt;mso-position-vertical-relative:text;margin-left:-71.05pt;mso-position-horizontal-relative:text">
                <v:shadow on="t" color="#808080" offset="6pt,-6pt"/>
                <v:textbox>
                  <w:txbxContent>
                    <w:p>
                      <w:pPr>
                        <w:pStyle w:val="Style26"/>
                        <w:jc w:val="center"/>
                        <w:rPr>
                          <w:b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26"/>
                        <w:jc w:val="center"/>
                        <w:rPr>
                          <w:b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2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ПАМЯТКА О ПОРЯДКЕ ПРЕДОСТАВЛЕНИЯ  МУНИЦИПАЛЬНОЙ УСЛУГИ </w:t>
                      </w:r>
                    </w:p>
                    <w:p>
                      <w:pPr>
                        <w:pStyle w:val="Style26"/>
                        <w:jc w:val="center"/>
                        <w:rPr>
                          <w:b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«ВЫДАЧА РАЗРЕШЕНИЙ НА ПРАВО РАЗМЕЩЕНИЯ ОБЪЕКТОВ НЕСТАЦИОНАРНОЙ ТОРГОВЛИ БЕЗ ПРОВЕДЕНИЯ АУКЦИОНА»</w:t>
                      </w:r>
                    </w:p>
                    <w:p>
                      <w:pPr>
                        <w:pStyle w:val="Style2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ПЕРЕЧЕНЬ ДОКУМЕНТОВ НЕОБХОДИМЫХ ДЛЯ ПОЛУЧЕНИЯ МУНИЦИПАЛЬНОЙ УСЛУГИ</w:t>
                      </w:r>
                    </w:p>
                    <w:p>
                      <w:pPr>
                        <w:pStyle w:val="Style26"/>
                        <w:rPr>
                          <w:szCs w:val="32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ConsPlusNormal1"/>
        <w:numPr>
          <w:ilvl w:val="0"/>
          <w:numId w:val="0"/>
        </w:numPr>
        <w:outlineLvl w:val="1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</w:r>
    </w:p>
    <w:p>
      <w:pPr>
        <w:pStyle w:val="ConsPlusNormal1"/>
        <w:numPr>
          <w:ilvl w:val="0"/>
          <w:numId w:val="0"/>
        </w:numPr>
        <w:jc w:val="center"/>
        <w:outlineLvl w:val="1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-441960</wp:posOffset>
                </wp:positionH>
                <wp:positionV relativeFrom="paragraph">
                  <wp:posOffset>64770</wp:posOffset>
                </wp:positionV>
                <wp:extent cx="6458585" cy="98234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040" cy="98172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dbe5f1"/>
                            </a:gs>
                            <a:gs pos="100000">
                              <a:srgbClr val="f8fafc"/>
                            </a:gs>
                          </a:gsLst>
                          <a:lin ang="16200000"/>
                        </a:gra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rmal1"/>
                              <w:numPr>
                                <w:ilvl w:val="0"/>
                                <w:numId w:val="0"/>
                              </w:numPr>
                              <w:jc w:val="center"/>
                              <w:outlineLvl w:val="1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КРУГ ЗАЯВИТЕЛЕЙ</w:t>
                            </w:r>
                          </w:p>
                          <w:p>
                            <w:pPr>
                              <w:pStyle w:val="Style26"/>
                              <w:widowControl w:val="false"/>
                              <w:spacing w:lineRule="exact" w:line="240"/>
                              <w:ind w:firstLine="70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Заявителями, имеющими право на получение муниципальной услуги, являются юридические лица и индивидуальные предприниматели, занимающиеся торговой деятельностью.</w:t>
                            </w:r>
                          </w:p>
                          <w:p>
                            <w:pPr>
                              <w:pStyle w:val="Style26"/>
                              <w:spacing w:lineRule="exact" w:line="240"/>
                              <w:ind w:firstLine="70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 имени заявителя могут выступать их законные представители, действующие на основании доверенности, оформленной в установленном законом порядке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fillcolor="#dbe5f1" stroked="t" o:allowincell="f" style="position:absolute;margin-left:-34.8pt;margin-top:5.1pt;width:508.45pt;height:77.25pt;mso-wrap-style:none;v-text-anchor:top" type="_x0000_t109">
                <v:fill o:detectmouseclick="t" color2="#f8fafc"/>
                <v:stroke color="black" joinstyle="miter" endcap="flat"/>
                <v:textbox>
                  <w:txbxContent>
                    <w:p>
                      <w:pPr>
                        <w:pStyle w:val="ConsPlusNormal1"/>
                        <w:numPr>
                          <w:ilvl w:val="0"/>
                          <w:numId w:val="0"/>
                        </w:numPr>
                        <w:jc w:val="center"/>
                        <w:outlineLvl w:val="1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КРУГ ЗАЯВИТЕЛЕЙ</w:t>
                      </w:r>
                    </w:p>
                    <w:p>
                      <w:pPr>
                        <w:pStyle w:val="Style26"/>
                        <w:widowControl w:val="false"/>
                        <w:spacing w:lineRule="exact" w:line="240"/>
                        <w:ind w:firstLine="70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Заявителями, имеющими право на получение муниципальной услуги, являются юридические лица и индивидуальные предприниматели, занимающиеся торговой деятельностью.</w:t>
                      </w:r>
                    </w:p>
                    <w:p>
                      <w:pPr>
                        <w:pStyle w:val="Style26"/>
                        <w:spacing w:lineRule="exact" w:line="240"/>
                        <w:ind w:firstLine="70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От имени заявителя могут выступать их законные представители, действующие на основании доверенности, оформленной в установленном законом порядке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widowControl w:val="false"/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center"/>
        <w:rPr>
          <w:lang w:val="en-US"/>
        </w:rPr>
      </w:pPr>
      <w:hyperlink r:id="rId2">
        <w:r>
          <w:rPr>
            <w:lang w:val="en-US"/>
          </w:rPr>
          <w:t>consultantplus://offline/ref=1D73C9EDB1E2CFA314EB61114C059A689276D624CF3165531C8E49915A0AE634BDC1F63BE996557B6218E31385O5C9K</w:t>
        </w:r>
      </w:hyperlink>
    </w:p>
    <w:p>
      <w:pPr>
        <w:pStyle w:val="Normal"/>
        <w:jc w:val="center"/>
        <w:rPr>
          <w:b/>
          <w:b/>
          <w:bCs/>
          <w:sz w:val="28"/>
          <w:szCs w:val="28"/>
        </w:rPr>
      </w:pPr>
      <w:hyperlink r:id="rId3">
        <w:r>
          <w:rPr/>
          <w:t>consultantplus://offline/r</w:t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-441960</wp:posOffset>
                </wp:positionH>
                <wp:positionV relativeFrom="paragraph">
                  <wp:posOffset>5080</wp:posOffset>
                </wp:positionV>
                <wp:extent cx="6458585" cy="313182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040" cy="313128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c6d9f1"/>
                            </a:gs>
                            <a:gs pos="100000">
                              <a:srgbClr val="f4f8fc"/>
                            </a:gs>
                          </a:gsLst>
                          <a:lin ang="16200000"/>
                        </a:gra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widowControl w:val="false"/>
                              <w:jc w:val="center"/>
                              <w:rPr>
                                <w:b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СПОСОБ ПОДАЧИ ЗАЯВЛЕНИЯ</w:t>
                            </w:r>
                          </w:p>
                          <w:p>
                            <w:pPr>
                              <w:pStyle w:val="Style26"/>
                              <w:widowControl w:val="false"/>
                              <w:ind w:left="360" w:firstLine="348"/>
                              <w:jc w:val="both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Заявитель имеет право представить документы:</w:t>
                            </w:r>
                          </w:p>
                          <w:p>
                            <w:pPr>
                              <w:pStyle w:val="ListParagraph"/>
                              <w:widowControl w:val="fals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lang w:eastAsia="ru-RU"/>
                              </w:rPr>
                              <w:t>- лично в администрацию по адресу: Ставропольский край, Петровский район, г. Светлоград, пл. 50 лет Октября, 8 должностным лицам отдела развития предпринимательства (с понедельника по пятницу с 8.00 до 17.00, перерыв с 12.00 до 13.00; суббота, воскресенье - выходные дни;</w:t>
                            </w:r>
                          </w:p>
                          <w:p>
                            <w:pPr>
                              <w:pStyle w:val="ListParagraph"/>
                              <w:widowControl w:val="fals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lang w:eastAsia="ru-RU"/>
                              </w:rPr>
                              <w:t>- в письменной форме, путем направления почтовых отправлений либо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по электронной почте по адресу: </w:t>
                            </w:r>
                            <w:r>
                              <w:rPr>
                                <w:rFonts w:cs="Times New Roman" w:ascii="Times New Roman" w:hAnsi="Times New Roman"/>
                                <w:lang w:val="en-US"/>
                              </w:rPr>
                              <w:t>adm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@</w:t>
                            </w:r>
                            <w:r>
                              <w:rPr>
                                <w:rFonts w:cs="Times New Roman" w:ascii="Times New Roman" w:hAnsi="Times New Roman"/>
                                <w:lang w:val="en-US"/>
                              </w:rPr>
                              <w:t>petrgosk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cs="Times New Roman" w:ascii="Times New Roman" w:hAnsi="Times New Roman"/>
                                <w:lang w:val="en-US"/>
                              </w:rPr>
                              <w:t>ru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;</w:t>
                            </w:r>
                          </w:p>
                          <w:p>
                            <w:pPr>
                              <w:pStyle w:val="ListParagraph"/>
                              <w:widowControl w:val="fals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lang w:eastAsia="ru-RU"/>
                              </w:rPr>
                              <w:t>- с использованием информационно-телекоммуникационной сети «Интернет» путем направления обращений на официальный сайт администрации www.</w:t>
                            </w:r>
                            <w:r>
                              <w:rPr>
                                <w:rFonts w:cs="Times New Roman" w:ascii="Times New Roman" w:hAnsi="Times New Roman"/>
                                <w:lang w:val="en-US" w:eastAsia="ru-RU"/>
                              </w:rPr>
                              <w:t>petrgosk</w:t>
                            </w:r>
                            <w:r>
                              <w:rPr>
                                <w:rFonts w:cs="Times New Roman" w:ascii="Times New Roman" w:hAnsi="Times New Roman"/>
                                <w:lang w:eastAsia="ru-RU"/>
                              </w:rPr>
                              <w:t xml:space="preserve">.ru, в федеральную государственную информационную систему «Единый портал государственных и муниципальных услуг (функций)» </w:t>
                            </w:r>
                            <w:hyperlink r:id="rId4">
                              <w:r>
                                <w:rPr>
                                  <w:rFonts w:cs="Times New Roman" w:ascii="Times New Roman" w:hAnsi="Times New Roman"/>
                                  <w:lang w:eastAsia="ru-RU"/>
                                </w:rPr>
                                <w:t>www.gosuslugi.ru</w:t>
                              </w:r>
                            </w:hyperlink>
                            <w:r>
                              <w:rPr>
                                <w:rFonts w:cs="Times New Roman" w:ascii="Times New Roman" w:hAnsi="Times New Roman"/>
                                <w:lang w:eastAsia="ru-RU"/>
                              </w:rPr>
                              <w:t xml:space="preserve">,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                      </w:r>
                            <w:hyperlink r:id="rId5">
                              <w:r>
                                <w:rPr>
                                  <w:rFonts w:cs="Times New Roman" w:ascii="Times New Roman" w:hAnsi="Times New Roman"/>
                                  <w:lang w:eastAsia="ru-RU"/>
                                </w:rPr>
                                <w:t>www.26gosuslugi.ru</w:t>
                              </w:r>
                            </w:hyperlink>
                            <w:r>
                              <w:rPr>
                                <w:rFonts w:cs="Times New Roman" w:ascii="Times New Roman" w:hAnsi="Times New Roman"/>
                                <w:lang w:eastAsia="ru-RU"/>
                              </w:rPr>
                              <w:t xml:space="preserve"> (в личные кабинеты пользователей);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20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lang w:eastAsia="ru-RU"/>
                              </w:rPr>
                              <w:t>- через МФЦ  - в порядке, установленном законодательством Российской Федерации.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#c6d9f1" stroked="t" o:allowincell="f" style="position:absolute;margin-left:-34.8pt;margin-top:0.4pt;width:508.45pt;height:246.5pt;mso-wrap-style:none;v-text-anchor:top" type="_x0000_t109">
                <v:fill o:detectmouseclick="t" color2="#f4f8fc"/>
                <v:stroke color="black" joinstyle="miter" endcap="flat"/>
                <v:textbox>
                  <w:txbxContent>
                    <w:p>
                      <w:pPr>
                        <w:pStyle w:val="Style26"/>
                        <w:widowControl w:val="false"/>
                        <w:jc w:val="center"/>
                        <w:rPr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СПОСОБ ПОДАЧИ ЗАЯВЛЕНИЯ</w:t>
                      </w:r>
                    </w:p>
                    <w:p>
                      <w:pPr>
                        <w:pStyle w:val="Style26"/>
                        <w:widowControl w:val="false"/>
                        <w:ind w:left="360" w:firstLine="348"/>
                        <w:jc w:val="both"/>
                        <w:rPr>
                          <w:b/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Заявитель имеет право представить документы:</w:t>
                      </w:r>
                    </w:p>
                    <w:p>
                      <w:pPr>
                        <w:pStyle w:val="ListParagraph"/>
                        <w:widowControl w:val="fals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cs="Times New Roman" w:ascii="Times New Roman" w:hAnsi="Times New Roman"/>
                          <w:lang w:eastAsia="ru-RU"/>
                        </w:rPr>
                        <w:t>- лично в администрацию по адресу: Ставропольский край, Петровский район, г. Светлоград, пл. 50 лет Октября, 8 должностным лицам отдела развития предпринимательства (с понедельника по пятницу с 8.00 до 17.00, перерыв с 12.00 до 13.00; суббота, воскресенье - выходные дни;</w:t>
                      </w:r>
                    </w:p>
                    <w:p>
                      <w:pPr>
                        <w:pStyle w:val="ListParagraph"/>
                        <w:widowControl w:val="fals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cs="Times New Roman" w:ascii="Times New Roman" w:hAnsi="Times New Roman"/>
                          <w:lang w:eastAsia="ru-RU"/>
                        </w:rPr>
                        <w:t>- в письменной форме, путем направления почтовых отправлений либо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 по электронной почте по адресу: </w:t>
                      </w:r>
                      <w:r>
                        <w:rPr>
                          <w:rFonts w:cs="Times New Roman" w:ascii="Times New Roman" w:hAnsi="Times New Roman"/>
                          <w:lang w:val="en-US"/>
                        </w:rPr>
                        <w:t>adm</w:t>
                      </w:r>
                      <w:r>
                        <w:rPr>
                          <w:rFonts w:cs="Times New Roman" w:ascii="Times New Roman" w:hAnsi="Times New Roman"/>
                        </w:rPr>
                        <w:t>@</w:t>
                      </w:r>
                      <w:r>
                        <w:rPr>
                          <w:rFonts w:cs="Times New Roman" w:ascii="Times New Roman" w:hAnsi="Times New Roman"/>
                          <w:lang w:val="en-US"/>
                        </w:rPr>
                        <w:t>petrgosk</w:t>
                      </w:r>
                      <w:r>
                        <w:rPr>
                          <w:rFonts w:cs="Times New Roman" w:ascii="Times New Roman" w:hAnsi="Times New Roman"/>
                        </w:rPr>
                        <w:t>.</w:t>
                      </w:r>
                      <w:r>
                        <w:rPr>
                          <w:rFonts w:cs="Times New Roman" w:ascii="Times New Roman" w:hAnsi="Times New Roman"/>
                          <w:lang w:val="en-US"/>
                        </w:rPr>
                        <w:t>ru</w:t>
                      </w:r>
                      <w:r>
                        <w:rPr>
                          <w:rFonts w:cs="Times New Roman" w:ascii="Times New Roman" w:hAnsi="Times New Roman"/>
                        </w:rPr>
                        <w:t>;</w:t>
                      </w:r>
                    </w:p>
                    <w:p>
                      <w:pPr>
                        <w:pStyle w:val="ListParagraph"/>
                        <w:widowControl w:val="fals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cs="Times New Roman" w:ascii="Times New Roman" w:hAnsi="Times New Roman"/>
                          <w:lang w:eastAsia="ru-RU"/>
                        </w:rPr>
                        <w:t>- с использованием информационно-телекоммуникационной сети «Интернет» путем направления обращений на официальный сайт администрации www.</w:t>
                      </w:r>
                      <w:r>
                        <w:rPr>
                          <w:rFonts w:cs="Times New Roman" w:ascii="Times New Roman" w:hAnsi="Times New Roman"/>
                          <w:lang w:val="en-US" w:eastAsia="ru-RU"/>
                        </w:rPr>
                        <w:t>petrgosk</w:t>
                      </w:r>
                      <w:r>
                        <w:rPr>
                          <w:rFonts w:cs="Times New Roman" w:ascii="Times New Roman" w:hAnsi="Times New Roman"/>
                          <w:lang w:eastAsia="ru-RU"/>
                        </w:rPr>
                        <w:t xml:space="preserve">.ru, в федеральную государственную информационную систему «Единый портал государственных и муниципальных услуг (функций)» </w:t>
                      </w:r>
                      <w:hyperlink r:id="rId6">
                        <w:r>
                          <w:rPr>
                            <w:rFonts w:cs="Times New Roman" w:ascii="Times New Roman" w:hAnsi="Times New Roman"/>
                            <w:lang w:eastAsia="ru-RU"/>
                          </w:rPr>
                          <w:t>www.gosuslugi.ru</w:t>
                        </w:r>
                      </w:hyperlink>
                      <w:r>
                        <w:rPr>
                          <w:rFonts w:cs="Times New Roman" w:ascii="Times New Roman" w:hAnsi="Times New Roman"/>
                          <w:lang w:eastAsia="ru-RU"/>
                        </w:rPr>
                        <w:t xml:space="preserve">,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                </w:r>
                      <w:hyperlink r:id="rId7">
                        <w:r>
                          <w:rPr>
                            <w:rFonts w:cs="Times New Roman" w:ascii="Times New Roman" w:hAnsi="Times New Roman"/>
                            <w:lang w:eastAsia="ru-RU"/>
                          </w:rPr>
                          <w:t>www.26gosuslugi.ru</w:t>
                        </w:r>
                      </w:hyperlink>
                      <w:r>
                        <w:rPr>
                          <w:rFonts w:cs="Times New Roman" w:ascii="Times New Roman" w:hAnsi="Times New Roman"/>
                          <w:lang w:eastAsia="ru-RU"/>
                        </w:rPr>
                        <w:t xml:space="preserve"> (в личные кабинеты пользователей);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20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lang w:eastAsia="ru-RU"/>
                        </w:rPr>
                        <w:t>- через МФЦ  - в порядке, установленном законодательством Российской Федерации.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74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-441960</wp:posOffset>
                </wp:positionH>
                <wp:positionV relativeFrom="paragraph">
                  <wp:posOffset>13335</wp:posOffset>
                </wp:positionV>
                <wp:extent cx="6544310" cy="224853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720" cy="224784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c6d9f1"/>
                            </a:gs>
                            <a:gs pos="100000">
                              <a:srgbClr val="f4f8fc"/>
                            </a:gs>
                          </a:gsLst>
                          <a:lin ang="16200000"/>
                        </a:gra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jc w:val="center"/>
                              <w:rPr>
                                <w:b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ПЕРЕЧЕНЬ ДОКУМЕНТОВ НЕОБХОДИМЫХ ДЛЯ ПОЛУЧЕНИЯ </w:t>
                            </w:r>
                          </w:p>
                          <w:p>
                            <w:pPr>
                              <w:pStyle w:val="Style2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МУНИЦИПАЛЬНОЙ УСЛУГИ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Rule="exact" w:line="24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Заявление.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Rule="exact" w:line="24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Копия документа, удостоверяющего личность хозяйствующего субъекта - индивидуального предпринимателя или его представителя, представителя юридического лица.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Rule="exact" w:line="24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Документ, удостоверяющий полномочия представителя хозяйствующего субъекта в случае подачи заявления представителем хозяйствующего субъекта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Rule="exact" w:line="24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Ранее заключенный договор на размещение НТО (при наличии), договор аренды земельного участка, заключенного до 01.03.2015 (при наличии).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Rule="exact" w:line="240" w:before="0" w:after="20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Расчет размера платы по договору за размещение НТО, подготовленный в соответствии с Федеральным </w:t>
                            </w:r>
                            <w:hyperlink r:id="rId8">
                              <w:r>
                                <w:rPr>
                                  <w:rFonts w:cs="Times New Roman" w:ascii="Times New Roman" w:hAnsi="Times New Roman"/>
                                  <w:color w:val="000000"/>
                                  <w:u w:val="none"/>
                                </w:rPr>
                                <w:t>законом</w:t>
                              </w:r>
                            </w:hyperlink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от 29 июля 1998 года № 135-ФЗ «Об оценочной деятельности в Российской Федерации».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#c6d9f1" stroked="t" o:allowincell="f" style="position:absolute;margin-left:-34.8pt;margin-top:1.05pt;width:515.2pt;height:176.95pt;mso-wrap-style:none;v-text-anchor:top" type="_x0000_t109">
                <v:fill o:detectmouseclick="t" color2="#f4f8fc"/>
                <v:stroke color="black" joinstyle="miter" endcap="flat"/>
                <v:textbox>
                  <w:txbxContent>
                    <w:p>
                      <w:pPr>
                        <w:pStyle w:val="Style26"/>
                        <w:jc w:val="center"/>
                        <w:rPr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ПЕРЕЧЕНЬ ДОКУМЕНТОВ НЕОБХОДИМЫХ ДЛЯ ПОЛУЧЕНИЯ </w:t>
                      </w:r>
                    </w:p>
                    <w:p>
                      <w:pPr>
                        <w:pStyle w:val="Style2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МУНИЦИПАЛЬНОЙ УСЛУГИ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Rule="exact" w:line="24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Заявление.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Rule="exact" w:line="24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Копия документа, удостоверяющего личность хозяйствующего субъекта - индивидуального предпринимателя или его представителя, представителя юридического лица.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Rule="exact" w:line="24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Документ, удостоверяющий полномочия представителя хозяйствующего субъекта в случае подачи заявления представителем хозяйствующего субъекта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требуется).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Rule="exact" w:line="24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Ранее заключенный договор на размещение НТО (при наличии), договор аренды земельного участка, заключенного до 01.03.2015 (при наличии).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Rule="exact" w:line="240" w:before="0" w:after="200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Расчет размера платы по договору за размещение НТО, подготовленный в соответствии с Федеральным </w:t>
                      </w:r>
                      <w:hyperlink r:id="rId9">
                        <w:r>
                          <w:rPr>
                            <w:rFonts w:cs="Times New Roman" w:ascii="Times New Roman" w:hAnsi="Times New Roman"/>
                            <w:color w:val="000000"/>
                            <w:u w:val="none"/>
                          </w:rPr>
                          <w:t>законом</w:t>
                        </w:r>
                      </w:hyperlink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</w:rPr>
                        <w:t>от 29 июля 1998 года № 135-ФЗ «Об оценочной деятельности в Российской Федерации».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37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column">
                  <wp:posOffset>-441960</wp:posOffset>
                </wp:positionH>
                <wp:positionV relativeFrom="paragraph">
                  <wp:posOffset>188595</wp:posOffset>
                </wp:positionV>
                <wp:extent cx="6591935" cy="87693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240" cy="87624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e9ecf3"/>
                            </a:gs>
                          </a:gsLst>
                          <a:lin ang="2700000"/>
                        </a:gra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widowControl w:val="false"/>
                              <w:ind w:firstLine="709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6"/>
                              <w:widowControl w:val="false"/>
                              <w:ind w:firstLine="709"/>
                              <w:jc w:val="center"/>
                              <w:rPr>
                                <w:b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РЕЗУЛЬТАТ ПРЕДОСТАВЛЕНИЯ МУНИЦИПАЛЬНОЙ УСЛУГИ:</w:t>
                            </w:r>
                          </w:p>
                          <w:p>
                            <w:pPr>
                              <w:pStyle w:val="ListParagraph"/>
                              <w:widowControl w:val="fals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выдача разрешения на право размещения нестационарных объектов; </w:t>
                            </w:r>
                          </w:p>
                          <w:p>
                            <w:pPr>
                              <w:pStyle w:val="ListParagraph"/>
                              <w:widowControl w:val="fals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отказ в выдаче разрешения на право размещения нестационарных объектов.</w:t>
                            </w:r>
                          </w:p>
                          <w:p>
                            <w:pPr>
                              <w:pStyle w:val="Style2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#4f81bd" stroked="t" o:allowincell="f" style="position:absolute;margin-left:-34.8pt;margin-top:14.85pt;width:518.95pt;height:68.95pt;mso-wrap-style:none;v-text-anchor:top" type="_x0000_t109">
                <v:fill o:detectmouseclick="t" color2="#e9ecf3"/>
                <v:stroke color="black" joinstyle="miter" endcap="flat"/>
                <v:textbox>
                  <w:txbxContent>
                    <w:p>
                      <w:pPr>
                        <w:pStyle w:val="Style26"/>
                        <w:widowControl w:val="false"/>
                        <w:ind w:firstLine="709"/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Style26"/>
                        <w:widowControl w:val="false"/>
                        <w:ind w:firstLine="709"/>
                        <w:jc w:val="center"/>
                        <w:rPr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РЕЗУЛЬТАТ ПРЕДОСТАВЛЕНИЯ МУНИЦИПАЛЬНОЙ УСЛУГИ:</w:t>
                      </w:r>
                    </w:p>
                    <w:p>
                      <w:pPr>
                        <w:pStyle w:val="ListParagraph"/>
                        <w:widowControl w:val="fals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выдача разрешения на право размещения нестационарных объектов; </w:t>
                      </w:r>
                    </w:p>
                    <w:p>
                      <w:pPr>
                        <w:pStyle w:val="ListParagraph"/>
                        <w:widowControl w:val="fals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отказ в выдаче разрешения на право размещения нестационарных объектов.</w:t>
                      </w:r>
                    </w:p>
                    <w:p>
                      <w:pPr>
                        <w:pStyle w:val="Style26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624" w:gutter="0" w:header="0" w:top="1843" w:footer="0" w:bottom="674"/>
      <w:pgNumType w:fmt="decimal"/>
      <w:formProt w:val="false"/>
      <w:textDirection w:val="lrTb"/>
      <w:docGrid w:type="default" w:linePitch="381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4a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">
    <w:name w:val="Heading 1"/>
    <w:basedOn w:val="Normal"/>
    <w:next w:val="Normal"/>
    <w:qFormat/>
    <w:rsid w:val="00784a36"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5">
    <w:name w:val="Heading 5"/>
    <w:basedOn w:val="Normal"/>
    <w:next w:val="Normal"/>
    <w:qFormat/>
    <w:rsid w:val="00784a36"/>
    <w:pPr>
      <w:keepNext w:val="true"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rsid w:val="00784a36"/>
    <w:pPr>
      <w:keepNext w:val="true"/>
      <w:numPr>
        <w:ilvl w:val="5"/>
        <w:numId w:val="1"/>
      </w:numPr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84a36"/>
    <w:rPr/>
  </w:style>
  <w:style w:type="character" w:styleId="WW8Num1z1" w:customStyle="1">
    <w:name w:val="WW8Num1z1"/>
    <w:qFormat/>
    <w:rsid w:val="00784a36"/>
    <w:rPr/>
  </w:style>
  <w:style w:type="character" w:styleId="WW8Num1z2" w:customStyle="1">
    <w:name w:val="WW8Num1z2"/>
    <w:qFormat/>
    <w:rsid w:val="00784a36"/>
    <w:rPr/>
  </w:style>
  <w:style w:type="character" w:styleId="WW8Num1z3" w:customStyle="1">
    <w:name w:val="WW8Num1z3"/>
    <w:qFormat/>
    <w:rsid w:val="00784a36"/>
    <w:rPr/>
  </w:style>
  <w:style w:type="character" w:styleId="WW8Num1z4" w:customStyle="1">
    <w:name w:val="WW8Num1z4"/>
    <w:qFormat/>
    <w:rsid w:val="00784a36"/>
    <w:rPr/>
  </w:style>
  <w:style w:type="character" w:styleId="WW8Num1z5" w:customStyle="1">
    <w:name w:val="WW8Num1z5"/>
    <w:qFormat/>
    <w:rsid w:val="00784a36"/>
    <w:rPr/>
  </w:style>
  <w:style w:type="character" w:styleId="WW8Num1z6" w:customStyle="1">
    <w:name w:val="WW8Num1z6"/>
    <w:qFormat/>
    <w:rsid w:val="00784a36"/>
    <w:rPr/>
  </w:style>
  <w:style w:type="character" w:styleId="WW8Num1z7" w:customStyle="1">
    <w:name w:val="WW8Num1z7"/>
    <w:qFormat/>
    <w:rsid w:val="00784a36"/>
    <w:rPr/>
  </w:style>
  <w:style w:type="character" w:styleId="WW8Num1z8" w:customStyle="1">
    <w:name w:val="WW8Num1z8"/>
    <w:qFormat/>
    <w:rsid w:val="00784a36"/>
    <w:rPr/>
  </w:style>
  <w:style w:type="character" w:styleId="11" w:customStyle="1">
    <w:name w:val="Основной шрифт абзаца1"/>
    <w:qFormat/>
    <w:rsid w:val="00784a36"/>
    <w:rPr/>
  </w:style>
  <w:style w:type="character" w:styleId="12" w:customStyle="1">
    <w:name w:val="Заголовок 1 Знак"/>
    <w:basedOn w:val="11"/>
    <w:qFormat/>
    <w:rsid w:val="00784a36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51" w:customStyle="1">
    <w:name w:val="Заголовок 5 Знак"/>
    <w:basedOn w:val="11"/>
    <w:qFormat/>
    <w:rsid w:val="00784a36"/>
    <w:rPr>
      <w:rFonts w:eastAsia="Times New Roman" w:cs="Times New Roman"/>
      <w:szCs w:val="20"/>
    </w:rPr>
  </w:style>
  <w:style w:type="character" w:styleId="61" w:customStyle="1">
    <w:name w:val="Заголовок 6 Знак"/>
    <w:basedOn w:val="11"/>
    <w:qFormat/>
    <w:rsid w:val="00784a36"/>
    <w:rPr>
      <w:rFonts w:eastAsia="Times New Roman" w:cs="Times New Roman"/>
      <w:b/>
      <w:sz w:val="20"/>
      <w:szCs w:val="20"/>
    </w:rPr>
  </w:style>
  <w:style w:type="character" w:styleId="Style11">
    <w:name w:val="Интернет-ссылка"/>
    <w:basedOn w:val="11"/>
    <w:rsid w:val="00784a36"/>
    <w:rPr>
      <w:color w:val="0000FF"/>
      <w:u w:val="single"/>
    </w:rPr>
  </w:style>
  <w:style w:type="character" w:styleId="Style12" w:customStyle="1">
    <w:name w:val="Название Знак"/>
    <w:basedOn w:val="11"/>
    <w:qFormat/>
    <w:rsid w:val="00784a36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Текст выноски Знак"/>
    <w:basedOn w:val="11"/>
    <w:qFormat/>
    <w:rsid w:val="00784a36"/>
    <w:rPr>
      <w:rFonts w:ascii="Tahoma" w:hAnsi="Tahoma" w:eastAsia="Times New Roman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c61d0d"/>
    <w:rPr>
      <w:sz w:val="28"/>
      <w:szCs w:val="22"/>
    </w:rPr>
  </w:style>
  <w:style w:type="character" w:styleId="Style14" w:customStyle="1">
    <w:name w:val="Верхний колонтитул Знак"/>
    <w:basedOn w:val="DefaultParagraphFont"/>
    <w:link w:val="af"/>
    <w:uiPriority w:val="99"/>
    <w:semiHidden/>
    <w:qFormat/>
    <w:rsid w:val="0043597b"/>
    <w:rPr>
      <w:lang w:eastAsia="zh-CN"/>
    </w:rPr>
  </w:style>
  <w:style w:type="character" w:styleId="Style15" w:customStyle="1">
    <w:name w:val="Нижний колонтитул Знак"/>
    <w:basedOn w:val="DefaultParagraphFont"/>
    <w:link w:val="af1"/>
    <w:uiPriority w:val="99"/>
    <w:semiHidden/>
    <w:qFormat/>
    <w:rsid w:val="0043597b"/>
    <w:rPr>
      <w:lang w:eastAsia="zh-CN"/>
    </w:rPr>
  </w:style>
  <w:style w:type="paragraph" w:styleId="Style16" w:customStyle="1">
    <w:name w:val="Заголовок"/>
    <w:basedOn w:val="Normal"/>
    <w:next w:val="Normal"/>
    <w:qFormat/>
    <w:rsid w:val="00784a36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Style17">
    <w:name w:val="Body Text"/>
    <w:basedOn w:val="Normal"/>
    <w:rsid w:val="00784a36"/>
    <w:pPr>
      <w:spacing w:lineRule="auto" w:line="276" w:before="0" w:after="140"/>
    </w:pPr>
    <w:rPr/>
  </w:style>
  <w:style w:type="paragraph" w:styleId="Style18">
    <w:name w:val="List"/>
    <w:basedOn w:val="Style17"/>
    <w:rsid w:val="00784a36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ption">
    <w:name w:val="caption"/>
    <w:basedOn w:val="Normal"/>
    <w:qFormat/>
    <w:rsid w:val="00784a3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3" w:customStyle="1">
    <w:name w:val="Указатель1"/>
    <w:basedOn w:val="Normal"/>
    <w:qFormat/>
    <w:rsid w:val="00784a36"/>
    <w:pPr>
      <w:suppressLineNumbers/>
    </w:pPr>
    <w:rPr/>
  </w:style>
  <w:style w:type="paragraph" w:styleId="ConsNonformat" w:customStyle="1">
    <w:name w:val="ConsNonformat"/>
    <w:qFormat/>
    <w:rsid w:val="00784a36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zh-CN" w:val="ru-RU" w:bidi="ar-SA"/>
    </w:rPr>
  </w:style>
  <w:style w:type="paragraph" w:styleId="ListParagraph">
    <w:name w:val="List Paragraph"/>
    <w:basedOn w:val="Normal"/>
    <w:qFormat/>
    <w:rsid w:val="00784a36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qFormat/>
    <w:rsid w:val="00784a36"/>
    <w:pPr/>
    <w:rPr>
      <w:rFonts w:ascii="Tahoma" w:hAnsi="Tahoma" w:cs="Tahoma"/>
      <w:sz w:val="16"/>
      <w:szCs w:val="16"/>
    </w:rPr>
  </w:style>
  <w:style w:type="paragraph" w:styleId="14" w:customStyle="1">
    <w:name w:val="Т-1"/>
    <w:basedOn w:val="Normal"/>
    <w:qFormat/>
    <w:rsid w:val="00784a36"/>
    <w:pPr>
      <w:spacing w:lineRule="auto" w:line="360"/>
      <w:ind w:firstLine="720"/>
      <w:jc w:val="both"/>
    </w:pPr>
    <w:rPr>
      <w:sz w:val="28"/>
    </w:rPr>
  </w:style>
  <w:style w:type="paragraph" w:styleId="Style21" w:customStyle="1">
    <w:name w:val="Содержимое таблицы"/>
    <w:basedOn w:val="Normal"/>
    <w:qFormat/>
    <w:rsid w:val="00784a36"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rsid w:val="00784a36"/>
    <w:pPr>
      <w:jc w:val="center"/>
    </w:pPr>
    <w:rPr>
      <w:b/>
      <w:bCs/>
    </w:rPr>
  </w:style>
  <w:style w:type="paragraph" w:styleId="ConsPlusNormal1" w:customStyle="1">
    <w:name w:val="ConsPlusNormal"/>
    <w:link w:val="ConsPlusNormal0"/>
    <w:qFormat/>
    <w:rsid w:val="00c61d0d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2"/>
      <w:lang w:val="ru-RU" w:eastAsia="ru-RU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f0"/>
    <w:uiPriority w:val="99"/>
    <w:semiHidden/>
    <w:unhideWhenUsed/>
    <w:rsid w:val="0043597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f2"/>
    <w:uiPriority w:val="99"/>
    <w:semiHidden/>
    <w:unhideWhenUsed/>
    <w:rsid w:val="0043597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5162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D73C9EDB1E2CFA314EB61114C059A689276D624CF3165531C8E49915A0AE634BDC1F63BE996557B6218E31385O5C9K" TargetMode="External"/><Relationship Id="rId3" Type="http://schemas.openxmlformats.org/officeDocument/2006/relationships/hyperlink" Target="consultantplus://offline/ref=1D73C9EDB1E2CFA314EB61114C059A689276D624CF3165531C8E49915A0AE634BDC1F63BE996557B6218E31385O5C9K" TargetMode="External"/><Relationship Id="rId4" Type="http://schemas.openxmlformats.org/officeDocument/2006/relationships/hyperlink" Target="http://www.gosuslugi.ru/" TargetMode="External"/><Relationship Id="rId5" Type="http://schemas.openxmlformats.org/officeDocument/2006/relationships/hyperlink" Target="http://www.26gosuslugi.ru/" TargetMode="External"/><Relationship Id="rId6" Type="http://schemas.openxmlformats.org/officeDocument/2006/relationships/hyperlink" Target="http://www.gosuslugi.ru/" TargetMode="External"/><Relationship Id="rId7" Type="http://schemas.openxmlformats.org/officeDocument/2006/relationships/hyperlink" Target="http://www.26gosuslugi.ru/" TargetMode="External"/><Relationship Id="rId8" Type="http://schemas.openxmlformats.org/officeDocument/2006/relationships/hyperlink" Target="consultantplus://offline/ref=1D73C9EDB1E2CFA314EB61114C059A689276D624CF3165531C8E49915A0AE634BDC1F63BE996557B6218E31385O5C9K" TargetMode="External"/><Relationship Id="rId9" Type="http://schemas.openxmlformats.org/officeDocument/2006/relationships/hyperlink" Target="consultantplus://offline/ref=1D73C9EDB1E2CFA314EB61114C059A689276D624CF3165531C8E49915A0AE634BDC1F63BE996557B6218E31385O5C9K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61469-C515-4D89-8176-1DED3B2F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LibreOffice/7.2.7.2$Linux_X86_64 LibreOffice_project/20$Build-2</Application>
  <AppVersion>15.0000</AppVersion>
  <Pages>1</Pages>
  <Words>325</Words>
  <Characters>2589</Characters>
  <CharactersWithSpaces>2885</CharactersWithSpaces>
  <Paragraphs>27</Paragraphs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2022-12-01T11:10:00Z</dcterms:created>
  <dc:creator>вкен</dc:creator>
  <dc:description/>
  <dc:language>ru-RU</dc:language>
  <cp:lastModifiedBy/>
  <cp:lastPrinted>2022-12-02T07:37:00Z</cp:lastPrinted>
  <dcterms:modified xsi:type="dcterms:W3CDTF">2022-12-02T11:40:58Z</dcterms:modified>
  <cp:revision>7</cp:revision>
  <dc:subject/>
  <dc:title>Постановление администрации Петровского городского округа Ставропольского края от 17.07.2018 N 1176(ред. от 09.11.2020)"О размещении нестационарных торговых объектов на территории Петровского городского округа Ставропольского края"(вместе со "Схемой размещения нестационарных торговых объектов на территории Петровского городского округа Ставропольского края", "Положением о порядке и условиях размещения нестационарных торговых объектов на территории Петровского городского округа Ставропольского края", "Пол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